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93.160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P57</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3213</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宿迁市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3213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lang w:val="fr-FR" w:eastAsia="zh-CN"/>
        </w:rPr>
        <w:t>1</w:t>
      </w:r>
      <w:r>
        <w:rPr>
          <w:rFonts w:hint="eastAsia"/>
          <w:lang w:val="en-US" w:eastAsia="zh-CN"/>
        </w:rPr>
        <w:t>075</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en-US" w:eastAsia="zh-CN"/>
        </w:rPr>
        <w:t>2025</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灌区节约用水技术导则</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guidelines for water saving in irrigation districts</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93"/>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ascii="黑体"/>
        </w:rPr>
        <w:t>    </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fldChar w:fldCharType="separate"/>
      </w:r>
      <w:r>
        <w:rPr>
          <w:rFonts w:hint="eastAsia" w:hAnsi="黑体"/>
          <w:w w:val="100"/>
          <w:sz w:val="28"/>
        </w:rPr>
        <w:t>宿迁市市场监督管理局</w:t>
      </w:r>
      <w:r>
        <w:rPr>
          <w:rFonts w:hAnsi="黑体"/>
          <w:w w:val="100"/>
          <w:sz w:val="28"/>
        </w:rPr>
        <w:fldChar w:fldCharType="end"/>
      </w:r>
      <w:bookmarkEnd w:id="17"/>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18" w:name="BookMark1"/>
      <w:bookmarkStart w:id="19" w:name="_Toc183181851"/>
      <w:bookmarkStart w:id="123" w:name="_GoBack"/>
      <w:bookmarkEnd w:id="123"/>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"标准文件_一级条标题,2,标准文件_二级条标题,3,标准文件_三级条标题,4,标准文件_附录一级条标题,2,标准文件_附录二级条标题,3,标准文件_附录三级条标题,4," </w:instrText>
      </w:r>
      <w:r>
        <w:fldChar w:fldCharType="separate"/>
      </w:r>
      <w:r>
        <w:fldChar w:fldCharType="begin"/>
      </w:r>
      <w:r>
        <w:instrText xml:space="preserve"> HYPERLINK \l "_Toc183183468" </w:instrText>
      </w:r>
      <w:r>
        <w:fldChar w:fldCharType="separate"/>
      </w:r>
      <w:r>
        <w:rPr>
          <w:rStyle w:val="32"/>
          <w:rFonts w:hint="eastAsia"/>
        </w:rPr>
        <w:t>前言</w:t>
      </w:r>
      <w:r>
        <w:tab/>
      </w:r>
      <w:r>
        <w:fldChar w:fldCharType="begin"/>
      </w:r>
      <w:r>
        <w:instrText xml:space="preserve"> PAGEREF _Toc183183468 \h </w:instrText>
      </w:r>
      <w:r>
        <w:fldChar w:fldCharType="separate"/>
      </w:r>
      <w:r>
        <w:t>III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"_Toc183183469" </w:instrText>
      </w:r>
      <w:r>
        <w:fldChar w:fldCharType="separate"/>
      </w:r>
      <w:r>
        <w:rPr>
          <w:rStyle w:val="32"/>
        </w:rPr>
        <w:t xml:space="preserve">1 </w:t>
      </w:r>
      <w:r>
        <w:rPr>
          <w:rStyle w:val="32"/>
          <w:rFonts w:hint="eastAsia"/>
        </w:rPr>
        <w:t xml:space="preserve"> 范围</w:t>
      </w:r>
      <w:r>
        <w:tab/>
      </w:r>
      <w:r>
        <w:fldChar w:fldCharType="begin"/>
      </w:r>
      <w:r>
        <w:instrText xml:space="preserve"> PAGEREF _Toc183183469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"_Toc183183470" </w:instrText>
      </w:r>
      <w:r>
        <w:fldChar w:fldCharType="separate"/>
      </w:r>
      <w:r>
        <w:rPr>
          <w:rStyle w:val="32"/>
        </w:rPr>
        <w:t xml:space="preserve">2 </w:t>
      </w:r>
      <w:r>
        <w:rPr>
          <w:rStyle w:val="32"/>
          <w:rFonts w:hint="eastAsia"/>
        </w:rPr>
        <w:t xml:space="preserve"> 规范性引用文件</w:t>
      </w:r>
      <w:r>
        <w:tab/>
      </w:r>
      <w:r>
        <w:fldChar w:fldCharType="begin"/>
      </w:r>
      <w:r>
        <w:instrText xml:space="preserve"> PAGEREF _Toc183183470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"_Toc183183471" </w:instrText>
      </w:r>
      <w:r>
        <w:fldChar w:fldCharType="separate"/>
      </w:r>
      <w:r>
        <w:rPr>
          <w:rStyle w:val="32"/>
        </w:rPr>
        <w:t xml:space="preserve">3 </w:t>
      </w:r>
      <w:r>
        <w:rPr>
          <w:rStyle w:val="32"/>
          <w:rFonts w:hint="eastAsia"/>
        </w:rPr>
        <w:t xml:space="preserve"> 术语和定义</w:t>
      </w:r>
      <w:r>
        <w:tab/>
      </w:r>
      <w:r>
        <w:fldChar w:fldCharType="begin"/>
      </w:r>
      <w:r>
        <w:instrText xml:space="preserve"> PAGEREF _Toc183183471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"_Toc183183472" </w:instrText>
      </w:r>
      <w:r>
        <w:fldChar w:fldCharType="separate"/>
      </w:r>
      <w:r>
        <w:rPr>
          <w:rStyle w:val="32"/>
        </w:rPr>
        <w:t xml:space="preserve">4 </w:t>
      </w:r>
      <w:r>
        <w:rPr>
          <w:rStyle w:val="32"/>
          <w:rFonts w:hint="eastAsia"/>
        </w:rPr>
        <w:t xml:space="preserve"> 技术要求</w:t>
      </w:r>
      <w:r>
        <w:tab/>
      </w:r>
      <w:r>
        <w:fldChar w:fldCharType="begin"/>
      </w:r>
      <w:r>
        <w:instrText xml:space="preserve"> PAGEREF _Toc183183472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"_Toc183183473" </w:instrText>
      </w:r>
      <w:r>
        <w:fldChar w:fldCharType="separate"/>
      </w:r>
      <w:r>
        <w:rPr>
          <w:rStyle w:val="32"/>
          <w14:scene3d>
            <w14:lightRig w14:rig="threePt" w14:dir="t">
              <w14:rot w14:lat="0" w14:lon="0" w14:rev="0"/>
            </w14:lightRig>
          </w14:scene3d>
        </w:rPr>
        <w:t xml:space="preserve">4.1 </w:t>
      </w:r>
      <w:r>
        <w:rPr>
          <w:rStyle w:val="32"/>
          <w:rFonts w:hint="eastAsia"/>
        </w:rPr>
        <w:t xml:space="preserve"> 技术指标要求</w:t>
      </w:r>
      <w:r>
        <w:tab/>
      </w:r>
      <w:r>
        <w:fldChar w:fldCharType="begin"/>
      </w:r>
      <w:r>
        <w:instrText xml:space="preserve"> PAGEREF _Toc183183473 \h </w:instrText>
      </w:r>
      <w:r>
        <w:fldChar w:fldCharType="separate"/>
      </w:r>
      <w:r>
        <w:t>2</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"_Toc183183474" </w:instrText>
      </w:r>
      <w:r>
        <w:fldChar w:fldCharType="separate"/>
      </w:r>
      <w:r>
        <w:rPr>
          <w:rStyle w:val="32"/>
        </w:rPr>
        <w:t xml:space="preserve">4.1.1 </w:t>
      </w:r>
      <w:r>
        <w:rPr>
          <w:rStyle w:val="32"/>
          <w:rFonts w:hint="eastAsia"/>
        </w:rPr>
        <w:t xml:space="preserve"> 灌溉水利用系数</w:t>
      </w:r>
      <w:r>
        <w:tab/>
      </w:r>
      <w:r>
        <w:fldChar w:fldCharType="begin"/>
      </w:r>
      <w:r>
        <w:instrText xml:space="preserve"> PAGEREF _Toc183183474 \h </w:instrText>
      </w:r>
      <w:r>
        <w:fldChar w:fldCharType="separate"/>
      </w:r>
      <w:r>
        <w:t>2</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"_Toc183183475" </w:instrText>
      </w:r>
      <w:r>
        <w:fldChar w:fldCharType="separate"/>
      </w:r>
      <w:r>
        <w:rPr>
          <w:rStyle w:val="32"/>
        </w:rPr>
        <w:t xml:space="preserve">4.1.2 </w:t>
      </w:r>
      <w:r>
        <w:rPr>
          <w:rStyle w:val="32"/>
          <w:rFonts w:hint="eastAsia"/>
        </w:rPr>
        <w:t xml:space="preserve"> 灌溉保证率</w:t>
      </w:r>
      <w:r>
        <w:tab/>
      </w:r>
      <w:r>
        <w:fldChar w:fldCharType="begin"/>
      </w:r>
      <w:r>
        <w:instrText xml:space="preserve"> PAGEREF _Toc183183475 \h </w:instrText>
      </w:r>
      <w:r>
        <w:fldChar w:fldCharType="separate"/>
      </w:r>
      <w:r>
        <w:t>2</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"_Toc183183476" </w:instrText>
      </w:r>
      <w:r>
        <w:fldChar w:fldCharType="separate"/>
      </w:r>
      <w:r>
        <w:rPr>
          <w:rStyle w:val="32"/>
        </w:rPr>
        <w:t xml:space="preserve">4.1.3 </w:t>
      </w:r>
      <w:r>
        <w:rPr>
          <w:rStyle w:val="32"/>
          <w:rFonts w:hint="eastAsia"/>
        </w:rPr>
        <w:t xml:space="preserve"> 节水灌溉面积</w:t>
      </w:r>
      <w:r>
        <w:tab/>
      </w:r>
      <w:r>
        <w:fldChar w:fldCharType="begin"/>
      </w:r>
      <w:r>
        <w:instrText xml:space="preserve"> PAGEREF _Toc183183476 \h </w:instrText>
      </w:r>
      <w:r>
        <w:fldChar w:fldCharType="separate"/>
      </w:r>
      <w:r>
        <w:t>2</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"_Toc183183477" </w:instrText>
      </w:r>
      <w:r>
        <w:fldChar w:fldCharType="separate"/>
      </w:r>
      <w:r>
        <w:rPr>
          <w:rStyle w:val="32"/>
        </w:rPr>
        <w:t xml:space="preserve">4.1.4 </w:t>
      </w:r>
      <w:r>
        <w:rPr>
          <w:rStyle w:val="32"/>
          <w:rFonts w:hint="eastAsia"/>
        </w:rPr>
        <w:t xml:space="preserve"> 骨干工程指标</w:t>
      </w:r>
      <w:r>
        <w:tab/>
      </w:r>
      <w:r>
        <w:fldChar w:fldCharType="begin"/>
      </w:r>
      <w:r>
        <w:instrText xml:space="preserve"> PAGEREF _Toc183183477 \h </w:instrText>
      </w:r>
      <w:r>
        <w:fldChar w:fldCharType="separate"/>
      </w:r>
      <w:r>
        <w:t>2</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"_Toc183183478" </w:instrText>
      </w:r>
      <w:r>
        <w:fldChar w:fldCharType="separate"/>
      </w:r>
      <w:r>
        <w:rPr>
          <w:rStyle w:val="32"/>
        </w:rPr>
        <w:t xml:space="preserve">4.1.5 </w:t>
      </w:r>
      <w:r>
        <w:rPr>
          <w:rStyle w:val="32"/>
          <w:rFonts w:hint="eastAsia"/>
        </w:rPr>
        <w:t xml:space="preserve"> 灌溉用水定额指标</w:t>
      </w:r>
      <w:r>
        <w:tab/>
      </w:r>
      <w:r>
        <w:fldChar w:fldCharType="begin"/>
      </w:r>
      <w:r>
        <w:instrText xml:space="preserve"> PAGEREF _Toc183183478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"_Toc183183479" </w:instrText>
      </w:r>
      <w:r>
        <w:fldChar w:fldCharType="separate"/>
      </w:r>
      <w:r>
        <w:rPr>
          <w:rStyle w:val="32"/>
          <w14:scene3d>
            <w14:lightRig w14:rig="threePt" w14:dir="t">
              <w14:rot w14:lat="0" w14:lon="0" w14:rev="0"/>
            </w14:lightRig>
          </w14:scene3d>
        </w:rPr>
        <w:t xml:space="preserve">4.2 </w:t>
      </w:r>
      <w:r>
        <w:rPr>
          <w:rStyle w:val="32"/>
          <w:rFonts w:hint="eastAsia"/>
        </w:rPr>
        <w:t xml:space="preserve"> 保障工程设施及技术要求</w:t>
      </w:r>
      <w:r>
        <w:tab/>
      </w:r>
      <w:r>
        <w:fldChar w:fldCharType="begin"/>
      </w:r>
      <w:r>
        <w:instrText xml:space="preserve"> PAGEREF _Toc183183479 \h </w:instrText>
      </w:r>
      <w:r>
        <w:fldChar w:fldCharType="separate"/>
      </w:r>
      <w:r>
        <w:t>2</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"_Toc183183480" </w:instrText>
      </w:r>
      <w:r>
        <w:fldChar w:fldCharType="separate"/>
      </w:r>
      <w:r>
        <w:rPr>
          <w:rStyle w:val="32"/>
        </w:rPr>
        <w:t xml:space="preserve">4.2.1 </w:t>
      </w:r>
      <w:r>
        <w:rPr>
          <w:rStyle w:val="32"/>
          <w:rFonts w:hint="eastAsia"/>
        </w:rPr>
        <w:t xml:space="preserve"> 渠道工程</w:t>
      </w:r>
      <w:r>
        <w:tab/>
      </w:r>
      <w:r>
        <w:fldChar w:fldCharType="begin"/>
      </w:r>
      <w:r>
        <w:instrText xml:space="preserve"> PAGEREF _Toc183183480 \h </w:instrText>
      </w:r>
      <w:r>
        <w:fldChar w:fldCharType="separate"/>
      </w:r>
      <w:r>
        <w:t>2</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"_Toc183183481" </w:instrText>
      </w:r>
      <w:r>
        <w:fldChar w:fldCharType="separate"/>
      </w:r>
      <w:r>
        <w:rPr>
          <w:rStyle w:val="32"/>
        </w:rPr>
        <w:t xml:space="preserve">4.2.2 </w:t>
      </w:r>
      <w:r>
        <w:rPr>
          <w:rStyle w:val="32"/>
          <w:rFonts w:hint="eastAsia"/>
        </w:rPr>
        <w:t xml:space="preserve"> 管道输水灌溉工程</w:t>
      </w:r>
      <w:r>
        <w:tab/>
      </w:r>
      <w:r>
        <w:fldChar w:fldCharType="begin"/>
      </w:r>
      <w:r>
        <w:instrText xml:space="preserve"> PAGEREF _Toc183183481 \h </w:instrText>
      </w:r>
      <w:r>
        <w:fldChar w:fldCharType="separate"/>
      </w:r>
      <w:r>
        <w:t>3</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"_Toc183183482" </w:instrText>
      </w:r>
      <w:r>
        <w:fldChar w:fldCharType="separate"/>
      </w:r>
      <w:r>
        <w:rPr>
          <w:rStyle w:val="32"/>
        </w:rPr>
        <w:t xml:space="preserve">4.2.3 </w:t>
      </w:r>
      <w:r>
        <w:rPr>
          <w:rStyle w:val="32"/>
          <w:rFonts w:hint="eastAsia"/>
        </w:rPr>
        <w:t xml:space="preserve"> 微灌工程</w:t>
      </w:r>
      <w:r>
        <w:tab/>
      </w:r>
      <w:r>
        <w:fldChar w:fldCharType="begin"/>
      </w:r>
      <w:r>
        <w:instrText xml:space="preserve"> PAGEREF _Toc183183482 \h </w:instrText>
      </w:r>
      <w:r>
        <w:fldChar w:fldCharType="separate"/>
      </w:r>
      <w:r>
        <w:t>3</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"_Toc183183483" </w:instrText>
      </w:r>
      <w:r>
        <w:fldChar w:fldCharType="separate"/>
      </w:r>
      <w:r>
        <w:rPr>
          <w:rStyle w:val="32"/>
        </w:rPr>
        <w:t xml:space="preserve">4.2.4 </w:t>
      </w:r>
      <w:r>
        <w:rPr>
          <w:rStyle w:val="32"/>
          <w:rFonts w:hint="eastAsia"/>
        </w:rPr>
        <w:t xml:space="preserve"> 地面灌工程</w:t>
      </w:r>
      <w:r>
        <w:tab/>
      </w:r>
      <w:r>
        <w:fldChar w:fldCharType="begin"/>
      </w:r>
      <w:r>
        <w:instrText xml:space="preserve"> PAGEREF _Toc183183483 \h </w:instrText>
      </w:r>
      <w:r>
        <w:fldChar w:fldCharType="separate"/>
      </w:r>
      <w:r>
        <w:t>4</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"_Toc183183484" </w:instrText>
      </w:r>
      <w:r>
        <w:fldChar w:fldCharType="separate"/>
      </w:r>
      <w:r>
        <w:rPr>
          <w:rStyle w:val="32"/>
        </w:rPr>
        <w:t xml:space="preserve">4.2.5 </w:t>
      </w:r>
      <w:r>
        <w:rPr>
          <w:rStyle w:val="32"/>
          <w:rFonts w:hint="eastAsia"/>
        </w:rPr>
        <w:t xml:space="preserve"> 计量器具</w:t>
      </w:r>
      <w:r>
        <w:tab/>
      </w:r>
      <w:r>
        <w:fldChar w:fldCharType="begin"/>
      </w:r>
      <w:r>
        <w:instrText xml:space="preserve"> PAGEREF _Toc183183484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"_Toc183183485" </w:instrText>
      </w:r>
      <w:r>
        <w:fldChar w:fldCharType="separate"/>
      </w:r>
      <w:r>
        <w:rPr>
          <w:rStyle w:val="32"/>
        </w:rPr>
        <w:t xml:space="preserve">5 </w:t>
      </w:r>
      <w:r>
        <w:rPr>
          <w:rStyle w:val="32"/>
          <w:rFonts w:hint="eastAsia"/>
        </w:rPr>
        <w:t xml:space="preserve"> 节水管理</w:t>
      </w:r>
      <w:r>
        <w:tab/>
      </w:r>
      <w:r>
        <w:fldChar w:fldCharType="begin"/>
      </w:r>
      <w:r>
        <w:instrText xml:space="preserve"> PAGEREF _Toc183183485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"_Toc183183486" </w:instrText>
      </w:r>
      <w:r>
        <w:fldChar w:fldCharType="separate"/>
      </w:r>
      <w:r>
        <w:rPr>
          <w:rStyle w:val="32"/>
          <w14:scene3d>
            <w14:lightRig w14:rig="threePt" w14:dir="t">
              <w14:rot w14:lat="0" w14:lon="0" w14:rev="0"/>
            </w14:lightRig>
          </w14:scene3d>
        </w:rPr>
        <w:t xml:space="preserve">5.1 </w:t>
      </w:r>
      <w:r>
        <w:rPr>
          <w:rStyle w:val="32"/>
          <w:rFonts w:hint="eastAsia"/>
        </w:rPr>
        <w:t xml:space="preserve"> 组织建设管理</w:t>
      </w:r>
      <w:r>
        <w:tab/>
      </w:r>
      <w:r>
        <w:fldChar w:fldCharType="begin"/>
      </w:r>
      <w:r>
        <w:instrText xml:space="preserve"> PAGEREF _Toc183183486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"_Toc183183487" </w:instrText>
      </w:r>
      <w:r>
        <w:fldChar w:fldCharType="separate"/>
      </w:r>
      <w:r>
        <w:rPr>
          <w:rStyle w:val="32"/>
          <w14:scene3d>
            <w14:lightRig w14:rig="threePt" w14:dir="t">
              <w14:rot w14:lat="0" w14:lon="0" w14:rev="0"/>
            </w14:lightRig>
          </w14:scene3d>
        </w:rPr>
        <w:t xml:space="preserve">5.2 </w:t>
      </w:r>
      <w:r>
        <w:rPr>
          <w:rStyle w:val="32"/>
          <w:rFonts w:hint="eastAsia"/>
        </w:rPr>
        <w:t xml:space="preserve"> 取水许可管理</w:t>
      </w:r>
      <w:r>
        <w:tab/>
      </w:r>
      <w:r>
        <w:fldChar w:fldCharType="begin"/>
      </w:r>
      <w:r>
        <w:instrText xml:space="preserve"> PAGEREF _Toc183183487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"_Toc183183488" </w:instrText>
      </w:r>
      <w:r>
        <w:fldChar w:fldCharType="separate"/>
      </w:r>
      <w:r>
        <w:rPr>
          <w:rStyle w:val="32"/>
          <w14:scene3d>
            <w14:lightRig w14:rig="threePt" w14:dir="t">
              <w14:rot w14:lat="0" w14:lon="0" w14:rev="0"/>
            </w14:lightRig>
          </w14:scene3d>
        </w:rPr>
        <w:t xml:space="preserve">5.3 </w:t>
      </w:r>
      <w:r>
        <w:rPr>
          <w:rStyle w:val="32"/>
          <w:rFonts w:hint="eastAsia"/>
        </w:rPr>
        <w:t xml:space="preserve"> 计划用水管理</w:t>
      </w:r>
      <w:r>
        <w:tab/>
      </w:r>
      <w:r>
        <w:fldChar w:fldCharType="begin"/>
      </w:r>
      <w:r>
        <w:instrText xml:space="preserve"> PAGEREF _Toc183183488 \h </w:instrText>
      </w:r>
      <w:r>
        <w:fldChar w:fldCharType="separate"/>
      </w:r>
      <w:r>
        <w:t>4</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"_Toc183183489" </w:instrText>
      </w:r>
      <w:r>
        <w:fldChar w:fldCharType="separate"/>
      </w:r>
      <w:r>
        <w:rPr>
          <w:rStyle w:val="32"/>
        </w:rPr>
        <w:t xml:space="preserve">5.3.1 </w:t>
      </w:r>
      <w:r>
        <w:rPr>
          <w:rStyle w:val="32"/>
          <w:rFonts w:hint="eastAsia"/>
        </w:rPr>
        <w:t xml:space="preserve"> 用水计划申请</w:t>
      </w:r>
      <w:r>
        <w:tab/>
      </w:r>
      <w:r>
        <w:fldChar w:fldCharType="begin"/>
      </w:r>
      <w:r>
        <w:instrText xml:space="preserve"> PAGEREF _Toc183183489 \h </w:instrText>
      </w:r>
      <w:r>
        <w:fldChar w:fldCharType="separate"/>
      </w:r>
      <w:r>
        <w:t>4</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"_Toc183183490" </w:instrText>
      </w:r>
      <w:r>
        <w:fldChar w:fldCharType="separate"/>
      </w:r>
      <w:r>
        <w:rPr>
          <w:rStyle w:val="32"/>
        </w:rPr>
        <w:t xml:space="preserve">5.3.2 </w:t>
      </w:r>
      <w:r>
        <w:rPr>
          <w:rStyle w:val="32"/>
          <w:rFonts w:hint="eastAsia"/>
        </w:rPr>
        <w:t xml:space="preserve"> 用水计划分解、执行</w:t>
      </w:r>
      <w:r>
        <w:tab/>
      </w:r>
      <w:r>
        <w:fldChar w:fldCharType="begin"/>
      </w:r>
      <w:r>
        <w:instrText xml:space="preserve"> PAGEREF _Toc183183490 \h </w:instrText>
      </w:r>
      <w:r>
        <w:fldChar w:fldCharType="separate"/>
      </w:r>
      <w:r>
        <w:t>5</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"_Toc183183491" </w:instrText>
      </w:r>
      <w:r>
        <w:fldChar w:fldCharType="separate"/>
      </w:r>
      <w:r>
        <w:rPr>
          <w:rStyle w:val="32"/>
        </w:rPr>
        <w:t xml:space="preserve">5.3.3 </w:t>
      </w:r>
      <w:r>
        <w:rPr>
          <w:rStyle w:val="32"/>
          <w:rFonts w:hint="eastAsia"/>
        </w:rPr>
        <w:t xml:space="preserve"> 用水计划调整</w:t>
      </w:r>
      <w:r>
        <w:tab/>
      </w:r>
      <w:r>
        <w:fldChar w:fldCharType="begin"/>
      </w:r>
      <w:r>
        <w:instrText xml:space="preserve"> PAGEREF _Toc183183491 \h </w:instrText>
      </w:r>
      <w:r>
        <w:fldChar w:fldCharType="separate"/>
      </w:r>
      <w:r>
        <w:t>5</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"_Toc183183492" </w:instrText>
      </w:r>
      <w:r>
        <w:fldChar w:fldCharType="separate"/>
      </w:r>
      <w:r>
        <w:rPr>
          <w:rStyle w:val="32"/>
        </w:rPr>
        <w:t xml:space="preserve">5.3.4 </w:t>
      </w:r>
      <w:r>
        <w:rPr>
          <w:rStyle w:val="32"/>
          <w:rFonts w:hint="eastAsia"/>
        </w:rPr>
        <w:t xml:space="preserve"> 定额用水管理</w:t>
      </w:r>
      <w:r>
        <w:tab/>
      </w:r>
      <w:r>
        <w:fldChar w:fldCharType="begin"/>
      </w:r>
      <w:r>
        <w:instrText xml:space="preserve"> PAGEREF _Toc183183492 \h </w:instrText>
      </w:r>
      <w:r>
        <w:fldChar w:fldCharType="separate"/>
      </w:r>
      <w:r>
        <w:t>5</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"_Toc183183493" </w:instrText>
      </w:r>
      <w:r>
        <w:fldChar w:fldCharType="separate"/>
      </w:r>
      <w:r>
        <w:rPr>
          <w:rStyle w:val="32"/>
          <w14:scene3d>
            <w14:lightRig w14:rig="threePt" w14:dir="t">
              <w14:rot w14:lat="0" w14:lon="0" w14:rev="0"/>
            </w14:lightRig>
          </w14:scene3d>
        </w:rPr>
        <w:t xml:space="preserve">5.4 </w:t>
      </w:r>
      <w:r>
        <w:rPr>
          <w:rStyle w:val="32"/>
          <w:rFonts w:hint="eastAsia"/>
        </w:rPr>
        <w:t xml:space="preserve"> 用水统计管理</w:t>
      </w:r>
      <w:r>
        <w:tab/>
      </w:r>
      <w:r>
        <w:fldChar w:fldCharType="begin"/>
      </w:r>
      <w:r>
        <w:instrText xml:space="preserve"> PAGEREF _Toc183183493 \h </w:instrText>
      </w:r>
      <w:r>
        <w:fldChar w:fldCharType="separate"/>
      </w:r>
      <w:r>
        <w:t>5</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"_Toc183183494" </w:instrText>
      </w:r>
      <w:r>
        <w:fldChar w:fldCharType="separate"/>
      </w:r>
      <w:r>
        <w:rPr>
          <w:rStyle w:val="32"/>
          <w14:scene3d>
            <w14:lightRig w14:rig="threePt" w14:dir="t">
              <w14:rot w14:lat="0" w14:lon="0" w14:rev="0"/>
            </w14:lightRig>
          </w14:scene3d>
        </w:rPr>
        <w:t xml:space="preserve">5.5 </w:t>
      </w:r>
      <w:r>
        <w:rPr>
          <w:rStyle w:val="32"/>
          <w:rFonts w:hint="eastAsia"/>
        </w:rPr>
        <w:t xml:space="preserve"> 监督检查管理</w:t>
      </w:r>
      <w:r>
        <w:tab/>
      </w:r>
      <w:r>
        <w:fldChar w:fldCharType="begin"/>
      </w:r>
      <w:r>
        <w:instrText xml:space="preserve"> PAGEREF _Toc183183494 \h </w:instrText>
      </w:r>
      <w:r>
        <w:fldChar w:fldCharType="separate"/>
      </w:r>
      <w:r>
        <w:t>5</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"_Toc183183495" </w:instrText>
      </w:r>
      <w:r>
        <w:fldChar w:fldCharType="separate"/>
      </w:r>
      <w:r>
        <w:rPr>
          <w:rStyle w:val="32"/>
          <w14:scene3d>
            <w14:lightRig w14:rig="threePt" w14:dir="t">
              <w14:rot w14:lat="0" w14:lon="0" w14:rev="0"/>
            </w14:lightRig>
          </w14:scene3d>
        </w:rPr>
        <w:t xml:space="preserve">5.6 </w:t>
      </w:r>
      <w:r>
        <w:rPr>
          <w:rStyle w:val="32"/>
          <w:rFonts w:hint="eastAsia"/>
        </w:rPr>
        <w:t xml:space="preserve"> 节水宣传管理</w:t>
      </w:r>
      <w:r>
        <w:tab/>
      </w:r>
      <w:r>
        <w:fldChar w:fldCharType="begin"/>
      </w:r>
      <w:r>
        <w:instrText xml:space="preserve"> PAGEREF _Toc183183495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"_Toc183183496" </w:instrText>
      </w:r>
      <w:r>
        <w:fldChar w:fldCharType="separate"/>
      </w:r>
      <w:r>
        <w:rPr>
          <w:rStyle w:val="32"/>
        </w:rPr>
        <w:t xml:space="preserve">6 </w:t>
      </w:r>
      <w:r>
        <w:rPr>
          <w:rStyle w:val="32"/>
          <w:rFonts w:hint="eastAsia"/>
        </w:rPr>
        <w:t xml:space="preserve"> 节水评价与效益</w:t>
      </w:r>
      <w:r>
        <w:tab/>
      </w:r>
      <w:r>
        <w:fldChar w:fldCharType="begin"/>
      </w:r>
      <w:r>
        <w:instrText xml:space="preserve"> PAGEREF _Toc183183496 \h </w:instrText>
      </w:r>
      <w:r>
        <w:fldChar w:fldCharType="separate"/>
      </w:r>
      <w:r>
        <w:t>5</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"_Toc183183497" </w:instrText>
      </w:r>
      <w:r>
        <w:fldChar w:fldCharType="separate"/>
      </w:r>
      <w:r>
        <w:rPr>
          <w:rStyle w:val="32"/>
          <w14:scene3d>
            <w14:lightRig w14:rig="threePt" w14:dir="t">
              <w14:rot w14:lat="0" w14:lon="0" w14:rev="0"/>
            </w14:lightRig>
          </w14:scene3d>
        </w:rPr>
        <w:t xml:space="preserve">6.1 </w:t>
      </w:r>
      <w:r>
        <w:rPr>
          <w:rStyle w:val="32"/>
          <w:rFonts w:hint="eastAsia"/>
        </w:rPr>
        <w:t xml:space="preserve"> 灌区节水现状和效益调查</w:t>
      </w:r>
      <w:r>
        <w:tab/>
      </w:r>
      <w:r>
        <w:fldChar w:fldCharType="begin"/>
      </w:r>
      <w:r>
        <w:instrText xml:space="preserve"> PAGEREF _Toc183183497 \h </w:instrText>
      </w:r>
      <w:r>
        <w:fldChar w:fldCharType="separate"/>
      </w:r>
      <w:r>
        <w:t>5</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"_Toc183183498" </w:instrText>
      </w:r>
      <w:r>
        <w:fldChar w:fldCharType="separate"/>
      </w:r>
      <w:r>
        <w:rPr>
          <w:rStyle w:val="32"/>
          <w14:scene3d>
            <w14:lightRig w14:rig="threePt" w14:dir="t">
              <w14:rot w14:lat="0" w14:lon="0" w14:rev="0"/>
            </w14:lightRig>
          </w14:scene3d>
        </w:rPr>
        <w:t xml:space="preserve">6.2 </w:t>
      </w:r>
      <w:r>
        <w:rPr>
          <w:rStyle w:val="32"/>
          <w:rFonts w:hint="eastAsia"/>
        </w:rPr>
        <w:t xml:space="preserve"> 节水效益指标计算</w:t>
      </w:r>
      <w:r>
        <w:tab/>
      </w:r>
      <w:r>
        <w:fldChar w:fldCharType="begin"/>
      </w:r>
      <w:r>
        <w:instrText xml:space="preserve"> PAGEREF _Toc183183498 \h </w:instrText>
      </w:r>
      <w:r>
        <w:fldChar w:fldCharType="separate"/>
      </w:r>
      <w:r>
        <w:t>6</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"_Toc183183499" </w:instrText>
      </w:r>
      <w:r>
        <w:fldChar w:fldCharType="separate"/>
      </w:r>
      <w:r>
        <w:rPr>
          <w:rStyle w:val="32"/>
          <w:rFonts w:hint="eastAsia"/>
        </w:rPr>
        <w:t>附录A（资料性）</w:t>
      </w:r>
      <w:r>
        <w:rPr>
          <w:rStyle w:val="32"/>
        </w:rPr>
        <w:t xml:space="preserve">  </w:t>
      </w:r>
      <w:r>
        <w:rPr>
          <w:rStyle w:val="32"/>
          <w:rFonts w:hint="eastAsia"/>
        </w:rPr>
        <w:t>附录</w:t>
      </w:r>
      <w:r>
        <w:rPr>
          <w:rStyle w:val="32"/>
        </w:rPr>
        <w:t>A</w:t>
      </w:r>
      <w:r>
        <w:rPr>
          <w:rStyle w:val="32"/>
          <w:rFonts w:hint="eastAsia"/>
        </w:rPr>
        <w:t>畦、沟灌技术参数</w:t>
      </w:r>
      <w:r>
        <w:tab/>
      </w:r>
      <w:r>
        <w:fldChar w:fldCharType="begin"/>
      </w:r>
      <w:r>
        <w:instrText xml:space="preserve"> PAGEREF _Toc183183499 \h </w:instrText>
      </w:r>
      <w:r>
        <w:fldChar w:fldCharType="separate"/>
      </w:r>
      <w:r>
        <w:t>7</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"_Toc183183500" </w:instrText>
      </w:r>
      <w:r>
        <w:fldChar w:fldCharType="separate"/>
      </w:r>
      <w:r>
        <w:rPr>
          <w:rStyle w:val="32"/>
        </w:rPr>
        <w:t xml:space="preserve">A.1 </w:t>
      </w:r>
      <w:r>
        <w:rPr>
          <w:rStyle w:val="32"/>
          <w:rFonts w:hint="eastAsia"/>
        </w:rPr>
        <w:t xml:space="preserve"> 畦灌技术参数</w:t>
      </w:r>
      <w:r>
        <w:tab/>
      </w:r>
      <w:r>
        <w:fldChar w:fldCharType="begin"/>
      </w:r>
      <w:r>
        <w:instrText xml:space="preserve"> PAGEREF _Toc183183500 \h </w:instrText>
      </w:r>
      <w:r>
        <w:fldChar w:fldCharType="separate"/>
      </w:r>
      <w:r>
        <w:t>7</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"_Toc183183501" </w:instrText>
      </w:r>
      <w:r>
        <w:fldChar w:fldCharType="separate"/>
      </w:r>
      <w:r>
        <w:rPr>
          <w:rStyle w:val="32"/>
        </w:rPr>
        <w:t xml:space="preserve">A.2 </w:t>
      </w:r>
      <w:r>
        <w:rPr>
          <w:rStyle w:val="32"/>
          <w:rFonts w:hint="eastAsia"/>
        </w:rPr>
        <w:t xml:space="preserve"> 沟灌技术参数</w:t>
      </w:r>
      <w:r>
        <w:tab/>
      </w:r>
      <w:r>
        <w:fldChar w:fldCharType="begin"/>
      </w:r>
      <w:r>
        <w:instrText xml:space="preserve"> PAGEREF _Toc183183501 \h </w:instrText>
      </w:r>
      <w:r>
        <w:fldChar w:fldCharType="separate"/>
      </w:r>
      <w:r>
        <w:t>7</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"_Toc183183502" </w:instrText>
      </w:r>
      <w:r>
        <w:fldChar w:fldCharType="separate"/>
      </w:r>
      <w:r>
        <w:rPr>
          <w:rStyle w:val="32"/>
          <w:rFonts w:hint="eastAsia"/>
        </w:rPr>
        <w:t>附录B（资料性）</w:t>
      </w:r>
      <w:r>
        <w:rPr>
          <w:rStyle w:val="32"/>
        </w:rPr>
        <w:t xml:space="preserve">  </w:t>
      </w:r>
      <w:r>
        <w:rPr>
          <w:rStyle w:val="32"/>
          <w:rFonts w:hint="eastAsia"/>
        </w:rPr>
        <w:t>灌区节水现状和效益调查</w:t>
      </w:r>
      <w:r>
        <w:tab/>
      </w:r>
      <w:r>
        <w:fldChar w:fldCharType="begin"/>
      </w:r>
      <w:r>
        <w:instrText xml:space="preserve"> PAGEREF _Toc183183502 \h </w:instrText>
      </w:r>
      <w:r>
        <w:fldChar w:fldCharType="separate"/>
      </w:r>
      <w:r>
        <w:t>8</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"_Toc183183503" </w:instrText>
      </w:r>
      <w:r>
        <w:fldChar w:fldCharType="separate"/>
      </w:r>
      <w:r>
        <w:rPr>
          <w:rStyle w:val="32"/>
        </w:rPr>
        <w:t xml:space="preserve">B.1 </w:t>
      </w:r>
      <w:r>
        <w:rPr>
          <w:rStyle w:val="32"/>
          <w:rFonts w:hint="eastAsia"/>
        </w:rPr>
        <w:t xml:space="preserve"> 调查内容</w:t>
      </w:r>
      <w:r>
        <w:tab/>
      </w:r>
      <w:r>
        <w:fldChar w:fldCharType="begin"/>
      </w:r>
      <w:r>
        <w:instrText xml:space="preserve"> PAGEREF _Toc183183503 \h </w:instrText>
      </w:r>
      <w:r>
        <w:fldChar w:fldCharType="separate"/>
      </w:r>
      <w:r>
        <w:t>8</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"_Toc183183504" </w:instrText>
      </w:r>
      <w:r>
        <w:fldChar w:fldCharType="separate"/>
      </w:r>
      <w:r>
        <w:rPr>
          <w:rStyle w:val="32"/>
        </w:rPr>
        <w:t xml:space="preserve">B.2 </w:t>
      </w:r>
      <w:r>
        <w:rPr>
          <w:rStyle w:val="32"/>
          <w:rFonts w:hint="eastAsia"/>
        </w:rPr>
        <w:t xml:space="preserve"> 调查方法</w:t>
      </w:r>
      <w:r>
        <w:tab/>
      </w:r>
      <w:r>
        <w:fldChar w:fldCharType="begin"/>
      </w:r>
      <w:r>
        <w:instrText xml:space="preserve"> PAGEREF _Toc183183504 \h </w:instrText>
      </w:r>
      <w:r>
        <w:fldChar w:fldCharType="separate"/>
      </w:r>
      <w:r>
        <w:t>8</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"_Toc183183505" </w:instrText>
      </w:r>
      <w:r>
        <w:fldChar w:fldCharType="separate"/>
      </w:r>
      <w:r>
        <w:rPr>
          <w:rStyle w:val="32"/>
        </w:rPr>
        <w:t xml:space="preserve">B.3 </w:t>
      </w:r>
      <w:r>
        <w:rPr>
          <w:rStyle w:val="32"/>
          <w:rFonts w:hint="eastAsia"/>
        </w:rPr>
        <w:t xml:space="preserve"> 灌区节水现状和效益调查表</w:t>
      </w:r>
      <w:r>
        <w:tab/>
      </w:r>
      <w:r>
        <w:fldChar w:fldCharType="begin"/>
      </w:r>
      <w:r>
        <w:instrText xml:space="preserve"> PAGEREF _Toc183183505 \h </w:instrText>
      </w:r>
      <w:r>
        <w:fldChar w:fldCharType="separate"/>
      </w:r>
      <w:r>
        <w:t>8</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"_Toc183183506" </w:instrText>
      </w:r>
      <w:r>
        <w:fldChar w:fldCharType="separate"/>
      </w:r>
      <w:r>
        <w:rPr>
          <w:rStyle w:val="32"/>
          <w:rFonts w:hint="eastAsia"/>
        </w:rPr>
        <w:t>附录C（规范性）</w:t>
      </w:r>
      <w:r>
        <w:rPr>
          <w:rStyle w:val="32"/>
        </w:rPr>
        <w:t xml:space="preserve">  </w:t>
      </w:r>
      <w:r>
        <w:rPr>
          <w:rStyle w:val="32"/>
          <w:rFonts w:hint="eastAsia"/>
        </w:rPr>
        <w:t>节水效益指标计算方法</w:t>
      </w:r>
      <w:r>
        <w:tab/>
      </w:r>
      <w:r>
        <w:fldChar w:fldCharType="begin"/>
      </w:r>
      <w:r>
        <w:instrText xml:space="preserve"> PAGEREF _Toc183183506 \h </w:instrText>
      </w:r>
      <w:r>
        <w:fldChar w:fldCharType="separate"/>
      </w:r>
      <w:r>
        <w:t>10</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"_Toc183183507" </w:instrText>
      </w:r>
      <w:r>
        <w:fldChar w:fldCharType="separate"/>
      </w:r>
      <w:r>
        <w:rPr>
          <w:rStyle w:val="32"/>
          <w:rFonts w:hint="eastAsia"/>
        </w:rPr>
        <w:t>参考文献</w:t>
      </w:r>
      <w:r>
        <w:tab/>
      </w:r>
      <w:r>
        <w:fldChar w:fldCharType="begin"/>
      </w:r>
      <w:r>
        <w:instrText xml:space="preserve"> PAGEREF _Toc183183507 \h </w:instrText>
      </w:r>
      <w:r>
        <w:fldChar w:fldCharType="separate"/>
      </w:r>
      <w:r>
        <w:t>11</w:t>
      </w:r>
      <w:r>
        <w:fldChar w:fldCharType="end"/>
      </w:r>
      <w:r>
        <w:fldChar w:fldCharType="end"/>
      </w:r>
    </w:p>
    <w:p>
      <w:pPr>
        <w:pStyle w:val="91"/>
        <w:spacing w:after="468"/>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18"/>
    <w:p>
      <w:pPr>
        <w:pStyle w:val="89"/>
        <w:spacing w:before="900" w:after="468"/>
      </w:pPr>
      <w:bookmarkStart w:id="20" w:name="_Toc183183468"/>
      <w:bookmarkStart w:id="21" w:name="BookMark2"/>
      <w:r>
        <w:rPr>
          <w:spacing w:val="320"/>
        </w:rPr>
        <w:t>前</w:t>
      </w:r>
      <w:r>
        <w:t>言</w:t>
      </w:r>
      <w:bookmarkEnd w:id="19"/>
      <w:bookmarkEnd w:id="20"/>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本文件由宿迁市节约用水管理服务中心提出。</w:t>
      </w:r>
    </w:p>
    <w:p>
      <w:pPr>
        <w:pStyle w:val="56"/>
        <w:ind w:firstLine="420"/>
      </w:pPr>
      <w:r>
        <w:rPr>
          <w:rFonts w:hint="eastAsia"/>
        </w:rPr>
        <w:t>本文件由宿迁市水利局归口。</w:t>
      </w:r>
    </w:p>
    <w:p>
      <w:pPr>
        <w:pStyle w:val="56"/>
        <w:ind w:firstLine="420"/>
      </w:pPr>
      <w:r>
        <w:rPr>
          <w:rFonts w:hint="eastAsia"/>
        </w:rPr>
        <w:t>本文件起草单位：宿迁市节约用水管理服务中心、江苏省水利科学研究院、河海大学</w:t>
      </w:r>
    </w:p>
    <w:p>
      <w:pPr>
        <w:pStyle w:val="56"/>
        <w:ind w:firstLine="420"/>
      </w:pPr>
      <w:r>
        <w:rPr>
          <w:rFonts w:hint="eastAsia"/>
        </w:rPr>
        <w:t>本文件主要起草人：佘冬立、陆毅、房凯、</w:t>
      </w:r>
      <w:r>
        <w:rPr>
          <w:rFonts w:hint="eastAsia"/>
          <w:lang w:val="en-US" w:eastAsia="zh-CN"/>
        </w:rPr>
        <w:t>王华、</w:t>
      </w:r>
      <w:r>
        <w:rPr>
          <w:rFonts w:hint="eastAsia"/>
        </w:rPr>
        <w:t>胡晓东、郭刘超、邵光成、刘亮军、滕翔、夏成亮、苏律文、王彦东、赵新化、方琼、成志超、侯坦、孙枭沁、吴培强、李雷、王洪德、戴亚博、王明明、陈晨、邱超、范颜军、吴良满、刘静、李士军、王丽、李郁、李威、赵鹏。</w:t>
      </w:r>
    </w:p>
    <w:p>
      <w:pPr>
        <w:pStyle w:val="56"/>
        <w:ind w:firstLine="420"/>
      </w:pPr>
      <w:r>
        <w:rPr>
          <w:rFonts w:hint="eastAsia"/>
        </w:rPr>
        <w:t>本文件为首次发布。</w:t>
      </w:r>
    </w:p>
    <w:p>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type="lines" w:linePitch="312" w:charSpace="0"/>
        </w:sectPr>
      </w:pPr>
    </w:p>
    <w:bookmarkEnd w:id="21"/>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lock w:val="sdtLocked"/>
        <w:placeholder>
          <w:docPart w:val="9D6D2BB18E5146CD997134F749631ABE"/>
        </w:placeholder>
      </w:sdtPr>
      <w:sdtContent>
        <w:p>
          <w:pPr>
            <w:pStyle w:val="177"/>
            <w:spacing w:before="312" w:beforeLines="100" w:after="686" w:afterLines="220"/>
          </w:pPr>
          <w:bookmarkStart w:id="23" w:name="NEW_STAND_NAME"/>
          <w:r>
            <w:rPr>
              <w:rFonts w:hint="eastAsia"/>
            </w:rPr>
            <w:t>灌区节约用水技术导则</w:t>
          </w:r>
        </w:p>
      </w:sdtContent>
    </w:sdt>
    <w:bookmarkEnd w:id="23"/>
    <w:p>
      <w:pPr>
        <w:pStyle w:val="104"/>
        <w:spacing w:before="312" w:after="312"/>
      </w:pPr>
      <w:bookmarkStart w:id="24" w:name="_Toc17233325"/>
      <w:bookmarkStart w:id="25" w:name="_Toc26718930"/>
      <w:bookmarkStart w:id="26" w:name="_Toc183181852"/>
      <w:bookmarkStart w:id="27" w:name="_Toc17233333"/>
      <w:bookmarkStart w:id="28" w:name="_Toc183183469"/>
      <w:bookmarkStart w:id="29" w:name="_Toc24884211"/>
      <w:bookmarkStart w:id="30" w:name="_Toc26648465"/>
      <w:bookmarkStart w:id="31" w:name="_Toc24884218"/>
      <w:bookmarkStart w:id="32" w:name="_Toc97191423"/>
      <w:bookmarkStart w:id="33" w:name="_Toc26986530"/>
      <w:bookmarkStart w:id="34" w:name="_Toc26986771"/>
      <w:r>
        <w:rPr>
          <w:rFonts w:hint="eastAsia"/>
        </w:rPr>
        <w:t>范围</w:t>
      </w:r>
      <w:bookmarkEnd w:id="24"/>
      <w:bookmarkEnd w:id="25"/>
      <w:bookmarkEnd w:id="26"/>
      <w:bookmarkEnd w:id="27"/>
      <w:bookmarkEnd w:id="28"/>
      <w:bookmarkEnd w:id="29"/>
      <w:bookmarkEnd w:id="30"/>
      <w:bookmarkEnd w:id="31"/>
      <w:bookmarkEnd w:id="32"/>
      <w:bookmarkEnd w:id="33"/>
      <w:bookmarkEnd w:id="34"/>
    </w:p>
    <w:p>
      <w:pPr>
        <w:pStyle w:val="56"/>
        <w:ind w:firstLine="420"/>
      </w:pPr>
      <w:bookmarkStart w:id="35" w:name="_Toc26648466"/>
      <w:bookmarkStart w:id="36" w:name="_Toc24884212"/>
      <w:bookmarkStart w:id="37" w:name="_Toc24884219"/>
      <w:bookmarkStart w:id="38" w:name="_Toc17233326"/>
      <w:bookmarkStart w:id="39" w:name="_Toc17233334"/>
      <w:r>
        <w:rPr>
          <w:rFonts w:hint="eastAsia"/>
        </w:rPr>
        <w:t>本文件规定了灌区节约用水技术的术语与定义、技术要求、节水管理、节水效益与评价等方面的要求。</w:t>
      </w:r>
    </w:p>
    <w:p>
      <w:pPr>
        <w:pStyle w:val="56"/>
        <w:ind w:firstLine="420"/>
      </w:pPr>
      <w:r>
        <w:rPr>
          <w:rFonts w:hint="eastAsia"/>
        </w:rPr>
        <w:t>本文件适用于宿迁市范围内灌区节约用水管理与评价工作。</w:t>
      </w:r>
    </w:p>
    <w:p>
      <w:pPr>
        <w:pStyle w:val="104"/>
        <w:spacing w:before="312" w:after="312"/>
      </w:pPr>
      <w:bookmarkStart w:id="40" w:name="_Toc26718931"/>
      <w:bookmarkStart w:id="41" w:name="_Toc26986772"/>
      <w:bookmarkStart w:id="42" w:name="_Toc26986531"/>
      <w:bookmarkStart w:id="43" w:name="_Toc183183470"/>
      <w:bookmarkStart w:id="44" w:name="_Toc183181853"/>
      <w:bookmarkStart w:id="45" w:name="_Toc97191424"/>
      <w:r>
        <w:rPr>
          <w:rFonts w:hint="eastAsia"/>
        </w:rPr>
        <w:t>规范性引用文件</w:t>
      </w:r>
      <w:bookmarkEnd w:id="35"/>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2BCDB19F42D54BCAB20D527E15F8543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GB/T 20203  管道输水灌溉工程技术规范</w:t>
      </w:r>
    </w:p>
    <w:p>
      <w:pPr>
        <w:pStyle w:val="56"/>
        <w:ind w:firstLine="420"/>
      </w:pPr>
      <w:r>
        <w:rPr>
          <w:rFonts w:hint="eastAsia"/>
        </w:rPr>
        <w:t>GB/T 21303  灌溉渠道系统量水规范</w:t>
      </w:r>
    </w:p>
    <w:p>
      <w:pPr>
        <w:pStyle w:val="56"/>
        <w:ind w:firstLine="420"/>
      </w:pPr>
      <w:r>
        <w:rPr>
          <w:rFonts w:hint="eastAsia"/>
        </w:rPr>
        <w:t>GB/T 50085  喷灌工程技术规范</w:t>
      </w:r>
    </w:p>
    <w:p>
      <w:pPr>
        <w:pStyle w:val="56"/>
        <w:ind w:firstLine="420"/>
      </w:pPr>
      <w:r>
        <w:rPr>
          <w:rFonts w:hint="eastAsia"/>
        </w:rPr>
        <w:t>GB/T 50485  微灌工程技术标准</w:t>
      </w:r>
    </w:p>
    <w:p>
      <w:pPr>
        <w:pStyle w:val="56"/>
        <w:ind w:firstLine="420"/>
      </w:pPr>
      <w:r>
        <w:rPr>
          <w:rFonts w:hint="eastAsia"/>
        </w:rPr>
        <w:t>GB/T 50600  渠道防渗衬砌工程技术标准</w:t>
      </w:r>
    </w:p>
    <w:p>
      <w:pPr>
        <w:pStyle w:val="56"/>
        <w:ind w:firstLine="420"/>
      </w:pPr>
      <w:r>
        <w:rPr>
          <w:rFonts w:hint="eastAsia"/>
        </w:rPr>
        <w:t>SL</w:t>
      </w:r>
      <w:r>
        <w:t>/T</w:t>
      </w:r>
      <w:r>
        <w:rPr>
          <w:rFonts w:hint="eastAsia"/>
        </w:rPr>
        <w:t xml:space="preserve"> </w:t>
      </w:r>
      <w:r>
        <w:t>246</w:t>
      </w:r>
      <w:r>
        <w:rPr>
          <w:rFonts w:hint="eastAsia"/>
        </w:rPr>
        <w:t xml:space="preserve">  灌溉与排水工程技术管理规程</w:t>
      </w:r>
    </w:p>
    <w:p>
      <w:pPr>
        <w:pStyle w:val="56"/>
        <w:ind w:firstLine="420"/>
      </w:pPr>
      <w:r>
        <w:rPr>
          <w:rFonts w:hint="eastAsia"/>
        </w:rPr>
        <w:t>DB32/T 3817  灌溉用水定额</w:t>
      </w:r>
    </w:p>
    <w:p>
      <w:pPr>
        <w:pStyle w:val="104"/>
        <w:spacing w:before="312" w:after="312"/>
      </w:pPr>
      <w:bookmarkStart w:id="46" w:name="_Toc97191425"/>
      <w:bookmarkStart w:id="47" w:name="_Toc183181854"/>
      <w:bookmarkStart w:id="48" w:name="_Toc183183471"/>
      <w:r>
        <w:rPr>
          <w:rFonts w:hint="eastAsia"/>
          <w:szCs w:val="21"/>
        </w:rPr>
        <w:t>术语和定义</w:t>
      </w:r>
      <w:bookmarkEnd w:id="46"/>
      <w:bookmarkEnd w:id="47"/>
      <w:bookmarkEnd w:id="48"/>
    </w:p>
    <w:sdt>
      <w:sdtPr>
        <w:id w:val="-1909835108"/>
        <w:placeholder>
          <w:docPart w:val="DD597A02E23E42FBAD2E5CC7DB098DB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9" w:name="_Toc26986532"/>
          <w:bookmarkEnd w:id="49"/>
          <w:r>
            <w:t>下列术语和定义适用于本文件。</w:t>
          </w:r>
        </w:p>
      </w:sdtContent>
    </w:sdt>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灌区 irrigation districts</w:t>
      </w:r>
    </w:p>
    <w:p>
      <w:pPr>
        <w:pStyle w:val="56"/>
        <w:ind w:firstLine="420"/>
      </w:pPr>
      <w:r>
        <w:rPr>
          <w:rFonts w:hint="eastAsia"/>
        </w:rPr>
        <w:t>有可靠水源和引、输、配水渠道系统和相应排水沟道的灌溉区域。</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节水灌溉 water-saving irrigation</w:t>
      </w:r>
    </w:p>
    <w:p>
      <w:pPr>
        <w:pStyle w:val="56"/>
        <w:ind w:firstLine="420"/>
      </w:pPr>
      <w:r>
        <w:rPr>
          <w:rFonts w:hint="eastAsia"/>
        </w:rPr>
        <w:t>在作物生育期，为提高灌溉水利用率和灌水效益采取工程、技术和管理等综合措施的灌溉方式。</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渠系水利用系数 canal-system water conveyance efficiency</w:t>
      </w:r>
    </w:p>
    <w:p>
      <w:pPr>
        <w:pStyle w:val="56"/>
        <w:ind w:firstLine="420"/>
      </w:pPr>
      <w:r>
        <w:rPr>
          <w:rFonts w:hint="eastAsia"/>
        </w:rPr>
        <w:t>末级固定渠道输出流量(水量)之和与干渠渠首引入流量(水量)的比值，或各级固定渠道的渠道水利用系数的乘积。</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田间水利用系数 field application efficiency</w:t>
      </w:r>
    </w:p>
    <w:p>
      <w:pPr>
        <w:pStyle w:val="56"/>
        <w:ind w:firstLine="420"/>
      </w:pPr>
      <w:r>
        <w:rPr>
          <w:rFonts w:hint="eastAsia"/>
        </w:rPr>
        <w:t>灌入田间可被作物利用的有效水量与末级固定渠道(农渠)输出水量的比值。</w:t>
      </w:r>
    </w:p>
    <w:p>
      <w:pPr>
        <w:pStyle w:val="223"/>
        <w:ind w:left="420" w:hanging="420" w:hangingChars="200"/>
      </w:pPr>
      <w:r>
        <w:rPr>
          <w:rFonts w:ascii="黑体" w:hAnsi="黑体" w:eastAsia="黑体"/>
        </w:rPr>
        <w:br w:type="textWrapping"/>
      </w:r>
      <w:r>
        <w:rPr>
          <w:rFonts w:hint="eastAsia" w:ascii="黑体" w:hAnsi="黑体" w:eastAsia="黑体"/>
        </w:rPr>
        <w:t xml:space="preserve">灌溉水利用系数 </w:t>
      </w:r>
      <w:r>
        <w:rPr>
          <w:rFonts w:hint="eastAsia" w:ascii="黑体" w:hAnsi="黑体" w:eastAsia="黑体"/>
          <w:kern w:val="2"/>
          <w:szCs w:val="21"/>
        </w:rPr>
        <w:t>w</w:t>
      </w:r>
      <w:r>
        <w:rPr>
          <w:rFonts w:ascii="黑体" w:hAnsi="黑体" w:eastAsia="黑体"/>
          <w:kern w:val="2"/>
          <w:szCs w:val="21"/>
        </w:rPr>
        <w:t>ater use efficiency of irrigation</w:t>
      </w:r>
    </w:p>
    <w:p>
      <w:pPr>
        <w:pStyle w:val="56"/>
        <w:ind w:firstLine="420"/>
      </w:pPr>
      <w:r>
        <w:rPr>
          <w:rFonts w:hint="eastAsia"/>
        </w:rPr>
        <w:t>灌入田间可被作物利用的水量与干渠渠首引入的总水量的比值，或渠系水利用系数和田间水利用系数的乘积。</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管道系统水利用系数 water use efficiency of pipeline system</w:t>
      </w:r>
    </w:p>
    <w:p>
      <w:pPr>
        <w:pStyle w:val="56"/>
        <w:ind w:firstLine="420"/>
      </w:pPr>
      <w:r>
        <w:rPr>
          <w:rFonts w:hint="eastAsia"/>
        </w:rPr>
        <w:t>设计工况下，管道系统出口总水量与其进口总水量的比值，也为各级管道水利用系数的乘积。</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管道输水灌溉工程 irrigation projects with</w:t>
      </w:r>
      <w:r>
        <w:rPr>
          <w:rFonts w:ascii="黑体" w:hAnsi="黑体" w:eastAsia="黑体"/>
          <w:kern w:val="2"/>
          <w:szCs w:val="21"/>
        </w:rPr>
        <w:t xml:space="preserve"> pipe</w:t>
      </w:r>
      <w:r>
        <w:rPr>
          <w:rFonts w:hint="eastAsia" w:ascii="黑体" w:hAnsi="黑体" w:eastAsia="黑体"/>
          <w:kern w:val="2"/>
          <w:szCs w:val="21"/>
        </w:rPr>
        <w:t>line</w:t>
      </w:r>
      <w:r>
        <w:rPr>
          <w:rFonts w:hint="eastAsia" w:ascii="黑体" w:hAnsi="黑体" w:eastAsia="黑体"/>
        </w:rPr>
        <w:t xml:space="preserve"> conveyance</w:t>
      </w:r>
    </w:p>
    <w:p>
      <w:pPr>
        <w:pStyle w:val="56"/>
        <w:ind w:firstLine="420"/>
      </w:pPr>
      <w:r>
        <w:rPr>
          <w:rFonts w:hint="eastAsia"/>
        </w:rPr>
        <w:t>由水泵加压或自然落差形成的有压水流，通过管道输送到田间给水装置，采用地面灌溉的工程。</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灌溉保证率 reliability of irrigation</w:t>
      </w:r>
    </w:p>
    <w:p>
      <w:pPr>
        <w:pStyle w:val="56"/>
        <w:ind w:firstLine="420"/>
      </w:pPr>
      <w:r>
        <w:rPr>
          <w:rFonts w:hint="eastAsia" w:ascii="Calibri" w:hAnsi="宋体"/>
          <w:color w:val="000000"/>
          <w:kern w:val="2"/>
          <w:szCs w:val="21"/>
        </w:rPr>
        <w:t>在多年期间，灌溉用水量</w:t>
      </w:r>
      <w:r>
        <w:rPr>
          <w:rFonts w:hint="eastAsia"/>
        </w:rPr>
        <w:t>能够得到保证的概率。</w:t>
      </w:r>
    </w:p>
    <w:p>
      <w:pPr>
        <w:pStyle w:val="104"/>
        <w:spacing w:before="312" w:after="312"/>
      </w:pPr>
      <w:bookmarkStart w:id="50" w:name="_Toc183181855"/>
      <w:bookmarkStart w:id="51" w:name="_Toc183183472"/>
      <w:r>
        <w:rPr>
          <w:rFonts w:hint="eastAsia"/>
        </w:rPr>
        <w:t>技术要求</w:t>
      </w:r>
      <w:bookmarkEnd w:id="50"/>
      <w:bookmarkEnd w:id="51"/>
    </w:p>
    <w:p>
      <w:pPr>
        <w:pStyle w:val="105"/>
        <w:spacing w:before="156" w:after="156"/>
      </w:pPr>
      <w:bookmarkStart w:id="52" w:name="_Toc183181856"/>
      <w:bookmarkStart w:id="53" w:name="_Toc183183473"/>
      <w:r>
        <w:rPr>
          <w:rFonts w:hint="eastAsia"/>
        </w:rPr>
        <w:t>技术指标要求</w:t>
      </w:r>
      <w:bookmarkEnd w:id="52"/>
      <w:bookmarkEnd w:id="53"/>
    </w:p>
    <w:p>
      <w:pPr>
        <w:pStyle w:val="65"/>
        <w:spacing w:before="156" w:after="156"/>
      </w:pPr>
      <w:bookmarkStart w:id="54" w:name="_Toc183183474"/>
      <w:bookmarkStart w:id="55" w:name="_Toc183181857"/>
      <w:r>
        <w:rPr>
          <w:rFonts w:hint="eastAsia"/>
        </w:rPr>
        <w:t>灌溉水利用系数</w:t>
      </w:r>
      <w:bookmarkEnd w:id="54"/>
      <w:bookmarkEnd w:id="55"/>
    </w:p>
    <w:p>
      <w:pPr>
        <w:pStyle w:val="164"/>
      </w:pPr>
      <w:r>
        <w:rPr>
          <w:rFonts w:hint="eastAsia"/>
        </w:rPr>
        <w:t>渠系水利用系数：大型灌区不应低于0.60，中型灌区不应低于0.65，小型灌区不应低于0.75。</w:t>
      </w:r>
    </w:p>
    <w:p>
      <w:pPr>
        <w:pStyle w:val="164"/>
      </w:pPr>
      <w:r>
        <w:rPr>
          <w:rFonts w:hint="eastAsia"/>
        </w:rPr>
        <w:t>管道系统水利用系数：灌区采用管道输水的区域不应低于0.95。</w:t>
      </w:r>
    </w:p>
    <w:p>
      <w:pPr>
        <w:pStyle w:val="164"/>
      </w:pPr>
      <w:r>
        <w:rPr>
          <w:rFonts w:hint="eastAsia"/>
        </w:rPr>
        <w:t>田间水利用系数：水稻灌区不宜低于0.95，旱作物灌区不宜低于0.90。</w:t>
      </w:r>
    </w:p>
    <w:p>
      <w:pPr>
        <w:pStyle w:val="164"/>
      </w:pPr>
      <w:r>
        <w:rPr>
          <w:rFonts w:hint="eastAsia"/>
        </w:rPr>
        <w:t>灌溉水利用系数：渠道防渗输水灌溉工程，大型灌区不应低于0.55，中型灌区不应低于0.60，小型灌区不应低于0.70；管道输水灌区、喷灌区不应低于0.80；微喷灌区不应低于0.85；滴灌区不应低于0.90。</w:t>
      </w:r>
    </w:p>
    <w:p>
      <w:pPr>
        <w:pStyle w:val="65"/>
        <w:spacing w:before="156" w:after="156"/>
      </w:pPr>
      <w:bookmarkStart w:id="56" w:name="_Toc183183475"/>
      <w:bookmarkStart w:id="57" w:name="_Toc183181858"/>
      <w:r>
        <w:rPr>
          <w:rFonts w:hint="eastAsia"/>
        </w:rPr>
        <w:t>灌溉保证率</w:t>
      </w:r>
      <w:bookmarkEnd w:id="56"/>
      <w:bookmarkEnd w:id="57"/>
    </w:p>
    <w:p>
      <w:pPr>
        <w:pStyle w:val="164"/>
      </w:pPr>
      <w:r>
        <w:rPr>
          <w:rFonts w:hint="eastAsia"/>
        </w:rPr>
        <w:t>湿润地区地面灌溉的旱作物灌溉保证率宜为75</w:t>
      </w:r>
      <w:r>
        <w:t> </w:t>
      </w:r>
      <w:r>
        <w:rPr>
          <w:rFonts w:hint="eastAsia"/>
        </w:rPr>
        <w:t>%</w:t>
      </w:r>
      <w:r>
        <w:rPr>
          <w:rFonts w:hint="eastAsia" w:hAnsi="宋体"/>
        </w:rPr>
        <w:t>～</w:t>
      </w:r>
      <w:r>
        <w:rPr>
          <w:rFonts w:hint="eastAsia"/>
        </w:rPr>
        <w:t>85</w:t>
      </w:r>
      <w:r>
        <w:t> </w:t>
      </w:r>
      <w:r>
        <w:rPr>
          <w:rFonts w:hint="eastAsia"/>
        </w:rPr>
        <w:t>%，水稻宜为80</w:t>
      </w:r>
      <w:r>
        <w:t> </w:t>
      </w:r>
      <w:r>
        <w:rPr>
          <w:rFonts w:hint="eastAsia"/>
        </w:rPr>
        <w:t>%</w:t>
      </w:r>
      <w:r>
        <w:rPr>
          <w:rFonts w:hint="eastAsia" w:hAnsi="宋体"/>
        </w:rPr>
        <w:t>～</w:t>
      </w:r>
      <w:r>
        <w:rPr>
          <w:rFonts w:hint="eastAsia"/>
        </w:rPr>
        <w:t>95</w:t>
      </w:r>
      <w:r>
        <w:t> </w:t>
      </w:r>
      <w:r>
        <w:rPr>
          <w:rFonts w:hint="eastAsia"/>
        </w:rPr>
        <w:t>%；喷微灌各类作物宜为85</w:t>
      </w:r>
      <w:r>
        <w:t> </w:t>
      </w:r>
      <w:r>
        <w:rPr>
          <w:rFonts w:hint="eastAsia"/>
        </w:rPr>
        <w:t>%</w:t>
      </w:r>
      <w:r>
        <w:rPr>
          <w:rFonts w:hint="eastAsia" w:hAnsi="宋体"/>
        </w:rPr>
        <w:t>～</w:t>
      </w:r>
      <w:r>
        <w:rPr>
          <w:rFonts w:hint="eastAsia"/>
        </w:rPr>
        <w:t>95</w:t>
      </w:r>
      <w:r>
        <w:t> </w:t>
      </w:r>
      <w:r>
        <w:rPr>
          <w:rFonts w:hint="eastAsia"/>
        </w:rPr>
        <w:t>%。</w:t>
      </w:r>
    </w:p>
    <w:p>
      <w:pPr>
        <w:pStyle w:val="164"/>
      </w:pPr>
      <w:r>
        <w:rPr>
          <w:rFonts w:hint="eastAsia"/>
        </w:rPr>
        <w:t>确定灌溉设计保证率时，可通过现有灌区实际调查，根据调查结果进行分析选定；大型灌区设计时宜通过技术经济论证和系统分析予以确定。</w:t>
      </w:r>
    </w:p>
    <w:p>
      <w:pPr>
        <w:pStyle w:val="65"/>
        <w:spacing w:before="156" w:after="156"/>
      </w:pPr>
      <w:bookmarkStart w:id="58" w:name="_Toc183181859"/>
      <w:bookmarkStart w:id="59" w:name="_Toc183183476"/>
      <w:r>
        <w:rPr>
          <w:rFonts w:hint="eastAsia"/>
        </w:rPr>
        <w:t>节水灌溉面积</w:t>
      </w:r>
      <w:bookmarkEnd w:id="58"/>
      <w:bookmarkEnd w:id="59"/>
    </w:p>
    <w:p>
      <w:pPr>
        <w:pStyle w:val="56"/>
        <w:ind w:firstLine="420"/>
      </w:pPr>
      <w:r>
        <w:rPr>
          <w:rFonts w:hint="eastAsia"/>
        </w:rPr>
        <w:t>灌区内节水灌溉面积宜达到设计灌溉面积的80</w:t>
      </w:r>
      <w:r>
        <w:t> </w:t>
      </w:r>
      <w:r>
        <w:rPr>
          <w:rFonts w:hint="eastAsia"/>
        </w:rPr>
        <w:t>%以上。</w:t>
      </w:r>
    </w:p>
    <w:p>
      <w:pPr>
        <w:pStyle w:val="65"/>
        <w:spacing w:before="156" w:after="156"/>
      </w:pPr>
      <w:bookmarkStart w:id="60" w:name="_Toc183183477"/>
      <w:bookmarkStart w:id="61" w:name="_Toc183181860"/>
      <w:r>
        <w:rPr>
          <w:rFonts w:hint="eastAsia"/>
        </w:rPr>
        <w:t>骨干工程指标</w:t>
      </w:r>
      <w:bookmarkEnd w:id="60"/>
      <w:bookmarkEnd w:id="61"/>
    </w:p>
    <w:p>
      <w:pPr>
        <w:pStyle w:val="56"/>
        <w:ind w:firstLine="420"/>
      </w:pPr>
      <w:r>
        <w:rPr>
          <w:rFonts w:hint="eastAsia"/>
        </w:rPr>
        <w:t>骨干工程配套率应达到95</w:t>
      </w:r>
      <w:r>
        <w:t> </w:t>
      </w:r>
      <w:r>
        <w:rPr>
          <w:rFonts w:hint="eastAsia"/>
        </w:rPr>
        <w:t>%以上；骨干工程完好率应达到90%以上；骨干渠道衬砌率应达到80</w:t>
      </w:r>
      <w:r>
        <w:t> </w:t>
      </w:r>
      <w:r>
        <w:rPr>
          <w:rFonts w:hint="eastAsia"/>
        </w:rPr>
        <w:t>%以上。</w:t>
      </w:r>
    </w:p>
    <w:p>
      <w:pPr>
        <w:pStyle w:val="65"/>
        <w:spacing w:before="156" w:after="156"/>
      </w:pPr>
      <w:bookmarkStart w:id="62" w:name="_Toc183181861"/>
      <w:bookmarkStart w:id="63" w:name="_Toc183183478"/>
      <w:r>
        <w:rPr>
          <w:rFonts w:hint="eastAsia"/>
        </w:rPr>
        <w:t>灌溉用水定额指标</w:t>
      </w:r>
      <w:bookmarkEnd w:id="62"/>
      <w:bookmarkEnd w:id="63"/>
    </w:p>
    <w:p>
      <w:pPr>
        <w:pStyle w:val="164"/>
      </w:pPr>
      <w:r>
        <w:rPr>
          <w:rFonts w:hint="eastAsia"/>
        </w:rPr>
        <w:t>灌溉用水定额应符合DB32/T 3817的要求。</w:t>
      </w:r>
    </w:p>
    <w:p>
      <w:pPr>
        <w:pStyle w:val="164"/>
      </w:pPr>
      <w:r>
        <w:rPr>
          <w:rFonts w:hint="eastAsia"/>
        </w:rPr>
        <w:t>江苏省定额未涉及个别类型时，可参考国家或行业灌溉用水定额。</w:t>
      </w:r>
    </w:p>
    <w:p>
      <w:pPr>
        <w:pStyle w:val="105"/>
        <w:spacing w:before="156" w:after="156"/>
      </w:pPr>
      <w:bookmarkStart w:id="64" w:name="_Toc183181862"/>
      <w:bookmarkStart w:id="65" w:name="_Toc183183479"/>
      <w:r>
        <w:rPr>
          <w:rFonts w:hint="eastAsia"/>
        </w:rPr>
        <w:t>保障工程设施及技术要求</w:t>
      </w:r>
      <w:bookmarkEnd w:id="64"/>
      <w:bookmarkEnd w:id="65"/>
    </w:p>
    <w:p>
      <w:pPr>
        <w:pStyle w:val="65"/>
        <w:spacing w:before="156" w:after="156"/>
      </w:pPr>
      <w:bookmarkStart w:id="66" w:name="_Toc183183480"/>
      <w:bookmarkStart w:id="67" w:name="_Toc183181863"/>
      <w:r>
        <w:rPr>
          <w:rFonts w:hint="eastAsia"/>
        </w:rPr>
        <w:t>渠道工程</w:t>
      </w:r>
      <w:bookmarkEnd w:id="66"/>
      <w:bookmarkEnd w:id="67"/>
    </w:p>
    <w:p>
      <w:pPr>
        <w:pStyle w:val="164"/>
      </w:pPr>
      <w:r>
        <w:rPr>
          <w:rFonts w:hint="eastAsia"/>
        </w:rPr>
        <w:t>渠系水利用系数不满足本文件第4.1.1条规定的，以及水资源紧缺地区或有特殊要求的渠道，均应采取衬砌防渗措施。</w:t>
      </w:r>
    </w:p>
    <w:p>
      <w:pPr>
        <w:pStyle w:val="164"/>
      </w:pPr>
      <w:r>
        <w:rPr>
          <w:rFonts w:hint="eastAsia"/>
        </w:rPr>
        <w:t>输水损失大、输水效率低的骨干渠道应防渗衬砌；提水灌区渠道及井灌区渠道应防渗衬砌；高填方、不良地质条件、回灌补源等涉及安全的骨干渠道应防渗衬砌。</w:t>
      </w:r>
    </w:p>
    <w:p>
      <w:pPr>
        <w:pStyle w:val="164"/>
      </w:pPr>
      <w:r>
        <w:rPr>
          <w:rFonts w:hint="eastAsia"/>
        </w:rPr>
        <w:t>防渗衬砌宜采用新技术、新材料、新工艺；地下水位超过设计渠底、输水效率能满足设计要求的挖方渠道不宜防渗；流速小、渠床稳定、过流能力能够满足设计要求的挖方渠道不宜衬砌；渠基为膨胀土、分散性黏土、盐渍土、湿陷性黄土、强冻胀土等特殊土的3级及以上渠道的防渗衬砌应专门论证确定,3级以下渠道防渗衬砌可类比确定。</w:t>
      </w:r>
    </w:p>
    <w:p>
      <w:pPr>
        <w:pStyle w:val="164"/>
      </w:pPr>
      <w:r>
        <w:rPr>
          <w:rFonts w:hint="eastAsia"/>
        </w:rPr>
        <w:t>渠道防渗衬砌混凝土的性能应符合表1的要求。</w:t>
      </w:r>
    </w:p>
    <w:p>
      <w:pPr>
        <w:pStyle w:val="112"/>
        <w:spacing w:before="156" w:after="156"/>
      </w:pPr>
      <w:r>
        <w:rPr>
          <w:rFonts w:hint="eastAsia"/>
        </w:rPr>
        <w:t>渠道衬砌混凝土最低强度和耐久性等级</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78"/>
        <w:gridCol w:w="1874"/>
        <w:gridCol w:w="1874"/>
        <w:gridCol w:w="1874"/>
        <w:gridCol w:w="187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78" w:type="dxa"/>
            <w:vMerge w:val="restart"/>
            <w:tcBorders>
              <w:top w:val="single" w:color="auto" w:sz="8" w:space="0"/>
            </w:tcBorders>
            <w:shd w:val="clear" w:color="auto" w:fill="auto"/>
            <w:vAlign w:val="center"/>
          </w:tcPr>
          <w:p>
            <w:pPr>
              <w:pStyle w:val="178"/>
            </w:pPr>
            <w:r>
              <w:rPr>
                <w:rFonts w:hint="eastAsia"/>
              </w:rPr>
              <w:t>化学侵蚀等级</w:t>
            </w:r>
          </w:p>
        </w:tc>
        <w:tc>
          <w:tcPr>
            <w:tcW w:w="1874" w:type="dxa"/>
            <w:vMerge w:val="restart"/>
            <w:tcBorders>
              <w:top w:val="single" w:color="auto" w:sz="8" w:space="0"/>
            </w:tcBorders>
            <w:shd w:val="clear" w:color="auto" w:fill="auto"/>
            <w:vAlign w:val="center"/>
          </w:tcPr>
          <w:p>
            <w:pPr>
              <w:pStyle w:val="178"/>
            </w:pPr>
            <w:r>
              <w:rPr>
                <w:rFonts w:hint="eastAsia"/>
              </w:rPr>
              <w:t>混凝土性能</w:t>
            </w:r>
          </w:p>
        </w:tc>
        <w:tc>
          <w:tcPr>
            <w:tcW w:w="5622" w:type="dxa"/>
            <w:gridSpan w:val="3"/>
            <w:tcBorders>
              <w:top w:val="single" w:color="auto" w:sz="8" w:space="0"/>
              <w:bottom w:val="single" w:color="auto" w:sz="8" w:space="0"/>
            </w:tcBorders>
            <w:shd w:val="clear" w:color="auto" w:fill="auto"/>
            <w:vAlign w:val="center"/>
          </w:tcPr>
          <w:p>
            <w:pPr>
              <w:pStyle w:val="178"/>
            </w:pPr>
            <w:r>
              <w:rPr>
                <w:rFonts w:hint="eastAsia"/>
              </w:rPr>
              <w:t>设计使用年限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78" w:type="dxa"/>
            <w:vMerge w:val="continue"/>
            <w:tcBorders>
              <w:bottom w:val="single" w:color="auto" w:sz="8" w:space="0"/>
            </w:tcBorders>
            <w:shd w:val="clear" w:color="auto" w:fill="auto"/>
            <w:vAlign w:val="center"/>
          </w:tcPr>
          <w:p>
            <w:pPr>
              <w:pStyle w:val="178"/>
            </w:pPr>
          </w:p>
        </w:tc>
        <w:tc>
          <w:tcPr>
            <w:tcW w:w="1874" w:type="dxa"/>
            <w:vMerge w:val="continue"/>
            <w:tcBorders>
              <w:bottom w:val="single" w:color="auto" w:sz="8" w:space="0"/>
            </w:tcBorders>
            <w:shd w:val="clear" w:color="auto" w:fill="auto"/>
            <w:vAlign w:val="center"/>
          </w:tcPr>
          <w:p>
            <w:pPr>
              <w:pStyle w:val="178"/>
            </w:pPr>
          </w:p>
        </w:tc>
        <w:tc>
          <w:tcPr>
            <w:tcW w:w="1874" w:type="dxa"/>
            <w:tcBorders>
              <w:top w:val="single" w:color="auto" w:sz="8" w:space="0"/>
              <w:bottom w:val="single" w:color="auto" w:sz="8" w:space="0"/>
            </w:tcBorders>
            <w:shd w:val="clear" w:color="auto" w:fill="auto"/>
            <w:vAlign w:val="center"/>
          </w:tcPr>
          <w:p>
            <w:pPr>
              <w:pStyle w:val="178"/>
            </w:pPr>
            <w:r>
              <w:rPr>
                <w:rFonts w:hint="eastAsia"/>
              </w:rPr>
              <w:t>50年</w:t>
            </w:r>
            <w:r>
              <w:rPr>
                <w:rFonts w:hint="eastAsia"/>
              </w:rPr>
              <w:tab/>
            </w:r>
          </w:p>
        </w:tc>
        <w:tc>
          <w:tcPr>
            <w:tcW w:w="1874" w:type="dxa"/>
            <w:tcBorders>
              <w:top w:val="single" w:color="auto" w:sz="8" w:space="0"/>
              <w:bottom w:val="single" w:color="auto" w:sz="8" w:space="0"/>
            </w:tcBorders>
            <w:shd w:val="clear" w:color="auto" w:fill="auto"/>
            <w:vAlign w:val="center"/>
          </w:tcPr>
          <w:p>
            <w:pPr>
              <w:pStyle w:val="178"/>
            </w:pPr>
            <w:r>
              <w:rPr>
                <w:rFonts w:hint="eastAsia"/>
              </w:rPr>
              <w:t>30年</w:t>
            </w:r>
          </w:p>
        </w:tc>
        <w:tc>
          <w:tcPr>
            <w:tcW w:w="1874" w:type="dxa"/>
            <w:tcBorders>
              <w:top w:val="single" w:color="auto" w:sz="8" w:space="0"/>
              <w:bottom w:val="single" w:color="auto" w:sz="8" w:space="0"/>
            </w:tcBorders>
            <w:shd w:val="clear" w:color="auto" w:fill="auto"/>
            <w:vAlign w:val="center"/>
          </w:tcPr>
          <w:p>
            <w:pPr>
              <w:pStyle w:val="178"/>
            </w:pPr>
            <w:r>
              <w:rPr>
                <w:rFonts w:hint="eastAsia"/>
              </w:rPr>
              <w:t>20年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8" w:type="dxa"/>
            <w:vMerge w:val="restart"/>
            <w:tcBorders>
              <w:top w:val="single" w:color="auto" w:sz="8" w:space="0"/>
            </w:tcBorders>
            <w:shd w:val="clear" w:color="auto" w:fill="auto"/>
            <w:vAlign w:val="center"/>
          </w:tcPr>
          <w:p>
            <w:pPr>
              <w:pStyle w:val="178"/>
            </w:pPr>
            <w:r>
              <w:rPr>
                <w:rFonts w:hint="eastAsia"/>
              </w:rPr>
              <w:t>无侵蚀</w:t>
            </w:r>
          </w:p>
        </w:tc>
        <w:tc>
          <w:tcPr>
            <w:tcW w:w="1874" w:type="dxa"/>
            <w:tcBorders>
              <w:top w:val="single" w:color="auto" w:sz="8" w:space="0"/>
            </w:tcBorders>
            <w:shd w:val="clear" w:color="auto" w:fill="auto"/>
            <w:vAlign w:val="center"/>
          </w:tcPr>
          <w:p>
            <w:pPr>
              <w:pStyle w:val="178"/>
            </w:pPr>
            <w:r>
              <w:rPr>
                <w:rFonts w:hint="eastAsia"/>
              </w:rPr>
              <w:t>强度等级</w:t>
            </w:r>
          </w:p>
        </w:tc>
        <w:tc>
          <w:tcPr>
            <w:tcW w:w="1874" w:type="dxa"/>
            <w:tcBorders>
              <w:top w:val="single" w:color="auto" w:sz="8" w:space="0"/>
            </w:tcBorders>
            <w:shd w:val="clear" w:color="auto" w:fill="auto"/>
            <w:vAlign w:val="center"/>
          </w:tcPr>
          <w:p>
            <w:pPr>
              <w:pStyle w:val="178"/>
            </w:pPr>
            <w:r>
              <w:rPr>
                <w:rFonts w:hint="eastAsia"/>
              </w:rPr>
              <w:t>C25</w:t>
            </w:r>
          </w:p>
        </w:tc>
        <w:tc>
          <w:tcPr>
            <w:tcW w:w="1874" w:type="dxa"/>
            <w:tcBorders>
              <w:top w:val="single" w:color="auto" w:sz="8" w:space="0"/>
            </w:tcBorders>
            <w:shd w:val="clear" w:color="auto" w:fill="auto"/>
            <w:vAlign w:val="center"/>
          </w:tcPr>
          <w:p>
            <w:pPr>
              <w:pStyle w:val="178"/>
            </w:pPr>
            <w:r>
              <w:rPr>
                <w:rFonts w:hint="eastAsia"/>
              </w:rPr>
              <w:t>C25</w:t>
            </w:r>
          </w:p>
        </w:tc>
        <w:tc>
          <w:tcPr>
            <w:tcW w:w="1874" w:type="dxa"/>
            <w:tcBorders>
              <w:top w:val="single" w:color="auto" w:sz="8" w:space="0"/>
            </w:tcBorders>
            <w:shd w:val="clear" w:color="auto" w:fill="auto"/>
            <w:vAlign w:val="center"/>
          </w:tcPr>
          <w:p>
            <w:pPr>
              <w:pStyle w:val="178"/>
            </w:pPr>
            <w:r>
              <w:rPr>
                <w:rFonts w:hint="eastAsia"/>
              </w:rPr>
              <w:t>C25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8" w:type="dxa"/>
            <w:vMerge w:val="continue"/>
            <w:shd w:val="clear" w:color="auto" w:fill="auto"/>
            <w:vAlign w:val="center"/>
          </w:tcPr>
          <w:p>
            <w:pPr>
              <w:pStyle w:val="178"/>
            </w:pPr>
          </w:p>
        </w:tc>
        <w:tc>
          <w:tcPr>
            <w:tcW w:w="1874" w:type="dxa"/>
            <w:shd w:val="clear" w:color="auto" w:fill="auto"/>
            <w:vAlign w:val="center"/>
          </w:tcPr>
          <w:p>
            <w:pPr>
              <w:pStyle w:val="178"/>
            </w:pPr>
            <w:r>
              <w:rPr>
                <w:rFonts w:hint="eastAsia"/>
              </w:rPr>
              <w:t>抗冻等级</w:t>
            </w:r>
          </w:p>
        </w:tc>
        <w:tc>
          <w:tcPr>
            <w:tcW w:w="1874" w:type="dxa"/>
            <w:shd w:val="clear" w:color="auto" w:fill="auto"/>
            <w:vAlign w:val="center"/>
          </w:tcPr>
          <w:p>
            <w:pPr>
              <w:pStyle w:val="178"/>
            </w:pPr>
            <w:r>
              <w:rPr>
                <w:rFonts w:hint="eastAsia"/>
              </w:rPr>
              <w:t>F100</w:t>
            </w:r>
            <w:r>
              <w:rPr>
                <w:rFonts w:hint="eastAsia"/>
              </w:rPr>
              <w:tab/>
            </w:r>
          </w:p>
        </w:tc>
        <w:tc>
          <w:tcPr>
            <w:tcW w:w="1874" w:type="dxa"/>
            <w:shd w:val="clear" w:color="auto" w:fill="auto"/>
            <w:vAlign w:val="center"/>
          </w:tcPr>
          <w:p>
            <w:pPr>
              <w:pStyle w:val="178"/>
            </w:pPr>
            <w:r>
              <w:rPr>
                <w:rFonts w:hint="eastAsia"/>
              </w:rPr>
              <w:t>F50</w:t>
            </w:r>
          </w:p>
        </w:tc>
        <w:tc>
          <w:tcPr>
            <w:tcW w:w="1874" w:type="dxa"/>
            <w:shd w:val="clear" w:color="auto" w:fill="auto"/>
            <w:vAlign w:val="center"/>
          </w:tcPr>
          <w:p>
            <w:pPr>
              <w:pStyle w:val="178"/>
            </w:pPr>
            <w:r>
              <w:rPr>
                <w:rFonts w:hint="eastAsia"/>
              </w:rPr>
              <w:t>F50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8" w:type="dxa"/>
            <w:vMerge w:val="continue"/>
            <w:shd w:val="clear" w:color="auto" w:fill="auto"/>
            <w:vAlign w:val="center"/>
          </w:tcPr>
          <w:p>
            <w:pPr>
              <w:pStyle w:val="178"/>
            </w:pPr>
          </w:p>
        </w:tc>
        <w:tc>
          <w:tcPr>
            <w:tcW w:w="1874" w:type="dxa"/>
            <w:shd w:val="clear" w:color="auto" w:fill="auto"/>
            <w:vAlign w:val="center"/>
          </w:tcPr>
          <w:p>
            <w:pPr>
              <w:pStyle w:val="178"/>
            </w:pPr>
            <w:r>
              <w:rPr>
                <w:rFonts w:hint="eastAsia"/>
              </w:rPr>
              <w:t>抗渗等级</w:t>
            </w:r>
          </w:p>
        </w:tc>
        <w:tc>
          <w:tcPr>
            <w:tcW w:w="5622" w:type="dxa"/>
            <w:gridSpan w:val="3"/>
            <w:shd w:val="clear" w:color="auto" w:fill="auto"/>
            <w:vAlign w:val="center"/>
          </w:tcPr>
          <w:p>
            <w:pPr>
              <w:pStyle w:val="178"/>
            </w:pPr>
            <w:r>
              <w:rPr>
                <w:rFonts w:hint="eastAsia"/>
              </w:rPr>
              <w:t>≥W6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8" w:type="dxa"/>
            <w:vMerge w:val="restart"/>
            <w:shd w:val="clear" w:color="auto" w:fill="auto"/>
            <w:vAlign w:val="center"/>
          </w:tcPr>
          <w:p>
            <w:pPr>
              <w:pStyle w:val="178"/>
            </w:pPr>
            <w:r>
              <w:rPr>
                <w:rFonts w:hint="eastAsia"/>
              </w:rPr>
              <w:t>轻度侵蚀</w:t>
            </w:r>
          </w:p>
        </w:tc>
        <w:tc>
          <w:tcPr>
            <w:tcW w:w="1874" w:type="dxa"/>
            <w:shd w:val="clear" w:color="auto" w:fill="auto"/>
            <w:vAlign w:val="center"/>
          </w:tcPr>
          <w:p>
            <w:pPr>
              <w:pStyle w:val="178"/>
            </w:pPr>
            <w:r>
              <w:rPr>
                <w:rFonts w:hint="eastAsia"/>
              </w:rPr>
              <w:t>强度等级</w:t>
            </w:r>
          </w:p>
        </w:tc>
        <w:tc>
          <w:tcPr>
            <w:tcW w:w="1874" w:type="dxa"/>
            <w:shd w:val="clear" w:color="auto" w:fill="auto"/>
            <w:vAlign w:val="center"/>
          </w:tcPr>
          <w:p>
            <w:pPr>
              <w:pStyle w:val="178"/>
            </w:pPr>
            <w:r>
              <w:rPr>
                <w:rFonts w:hint="eastAsia"/>
              </w:rPr>
              <w:t>C25</w:t>
            </w:r>
          </w:p>
        </w:tc>
        <w:tc>
          <w:tcPr>
            <w:tcW w:w="1874" w:type="dxa"/>
            <w:shd w:val="clear" w:color="auto" w:fill="auto"/>
            <w:vAlign w:val="center"/>
          </w:tcPr>
          <w:p>
            <w:pPr>
              <w:pStyle w:val="178"/>
            </w:pPr>
            <w:r>
              <w:rPr>
                <w:rFonts w:hint="eastAsia"/>
              </w:rPr>
              <w:t>C25</w:t>
            </w:r>
          </w:p>
        </w:tc>
        <w:tc>
          <w:tcPr>
            <w:tcW w:w="1874" w:type="dxa"/>
            <w:shd w:val="clear" w:color="auto" w:fill="auto"/>
            <w:vAlign w:val="center"/>
          </w:tcPr>
          <w:p>
            <w:pPr>
              <w:pStyle w:val="178"/>
            </w:pPr>
            <w:r>
              <w:rPr>
                <w:rFonts w:hint="eastAsia"/>
              </w:rPr>
              <w:t>C25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8" w:type="dxa"/>
            <w:vMerge w:val="continue"/>
            <w:shd w:val="clear" w:color="auto" w:fill="auto"/>
            <w:vAlign w:val="center"/>
          </w:tcPr>
          <w:p>
            <w:pPr>
              <w:pStyle w:val="178"/>
            </w:pPr>
          </w:p>
        </w:tc>
        <w:tc>
          <w:tcPr>
            <w:tcW w:w="1874" w:type="dxa"/>
            <w:shd w:val="clear" w:color="auto" w:fill="auto"/>
            <w:vAlign w:val="center"/>
          </w:tcPr>
          <w:p>
            <w:pPr>
              <w:pStyle w:val="178"/>
            </w:pPr>
            <w:r>
              <w:rPr>
                <w:rFonts w:hint="eastAsia"/>
              </w:rPr>
              <w:t>抗冻等级</w:t>
            </w:r>
          </w:p>
        </w:tc>
        <w:tc>
          <w:tcPr>
            <w:tcW w:w="1874" w:type="dxa"/>
            <w:shd w:val="clear" w:color="auto" w:fill="auto"/>
            <w:vAlign w:val="center"/>
          </w:tcPr>
          <w:p>
            <w:pPr>
              <w:pStyle w:val="178"/>
            </w:pPr>
            <w:r>
              <w:rPr>
                <w:rFonts w:hint="eastAsia"/>
              </w:rPr>
              <w:t>F150</w:t>
            </w:r>
          </w:p>
        </w:tc>
        <w:tc>
          <w:tcPr>
            <w:tcW w:w="1874" w:type="dxa"/>
            <w:shd w:val="clear" w:color="auto" w:fill="auto"/>
            <w:vAlign w:val="center"/>
          </w:tcPr>
          <w:p>
            <w:pPr>
              <w:pStyle w:val="178"/>
            </w:pPr>
            <w:r>
              <w:rPr>
                <w:rFonts w:hint="eastAsia"/>
              </w:rPr>
              <w:t>F100</w:t>
            </w:r>
          </w:p>
        </w:tc>
        <w:tc>
          <w:tcPr>
            <w:tcW w:w="1874" w:type="dxa"/>
            <w:shd w:val="clear" w:color="auto" w:fill="auto"/>
            <w:vAlign w:val="center"/>
          </w:tcPr>
          <w:p>
            <w:pPr>
              <w:pStyle w:val="178"/>
            </w:pPr>
            <w:r>
              <w:rPr>
                <w:rFonts w:hint="eastAsia"/>
              </w:rPr>
              <w:t>F50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8" w:type="dxa"/>
            <w:vMerge w:val="continue"/>
            <w:shd w:val="clear" w:color="auto" w:fill="auto"/>
            <w:vAlign w:val="center"/>
          </w:tcPr>
          <w:p>
            <w:pPr>
              <w:pStyle w:val="178"/>
            </w:pPr>
          </w:p>
        </w:tc>
        <w:tc>
          <w:tcPr>
            <w:tcW w:w="1874" w:type="dxa"/>
            <w:shd w:val="clear" w:color="auto" w:fill="auto"/>
            <w:vAlign w:val="center"/>
          </w:tcPr>
          <w:p>
            <w:pPr>
              <w:pStyle w:val="178"/>
            </w:pPr>
            <w:r>
              <w:rPr>
                <w:rFonts w:hint="eastAsia"/>
              </w:rPr>
              <w:t>抗渗等级</w:t>
            </w:r>
          </w:p>
        </w:tc>
        <w:tc>
          <w:tcPr>
            <w:tcW w:w="5622" w:type="dxa"/>
            <w:gridSpan w:val="3"/>
            <w:shd w:val="clear" w:color="auto" w:fill="auto"/>
            <w:vAlign w:val="center"/>
          </w:tcPr>
          <w:p>
            <w:pPr>
              <w:pStyle w:val="178"/>
            </w:pPr>
            <w:r>
              <w:rPr>
                <w:rFonts w:hint="eastAsia"/>
              </w:rPr>
              <w:t>≥W6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8" w:type="dxa"/>
            <w:vMerge w:val="restart"/>
            <w:shd w:val="clear" w:color="auto" w:fill="auto"/>
            <w:vAlign w:val="center"/>
          </w:tcPr>
          <w:p>
            <w:pPr>
              <w:pStyle w:val="178"/>
            </w:pPr>
            <w:r>
              <w:rPr>
                <w:rFonts w:hint="eastAsia"/>
              </w:rPr>
              <w:t>中度侵蚀</w:t>
            </w:r>
          </w:p>
        </w:tc>
        <w:tc>
          <w:tcPr>
            <w:tcW w:w="1874" w:type="dxa"/>
            <w:shd w:val="clear" w:color="auto" w:fill="auto"/>
            <w:vAlign w:val="center"/>
          </w:tcPr>
          <w:p>
            <w:pPr>
              <w:pStyle w:val="56"/>
              <w:ind w:firstLine="540" w:firstLineChars="300"/>
              <w:rPr>
                <w:sz w:val="18"/>
                <w:szCs w:val="18"/>
              </w:rPr>
            </w:pPr>
            <w:r>
              <w:rPr>
                <w:rFonts w:hint="eastAsia"/>
                <w:sz w:val="18"/>
                <w:szCs w:val="18"/>
              </w:rPr>
              <w:t>强度等级</w:t>
            </w:r>
          </w:p>
        </w:tc>
        <w:tc>
          <w:tcPr>
            <w:tcW w:w="1874" w:type="dxa"/>
            <w:shd w:val="clear" w:color="auto" w:fill="auto"/>
            <w:vAlign w:val="center"/>
          </w:tcPr>
          <w:p>
            <w:pPr>
              <w:pStyle w:val="178"/>
            </w:pPr>
            <w:r>
              <w:rPr>
                <w:rFonts w:hint="eastAsia"/>
              </w:rPr>
              <w:t>C30</w:t>
            </w:r>
          </w:p>
        </w:tc>
        <w:tc>
          <w:tcPr>
            <w:tcW w:w="1874" w:type="dxa"/>
            <w:shd w:val="clear" w:color="auto" w:fill="auto"/>
            <w:vAlign w:val="center"/>
          </w:tcPr>
          <w:p>
            <w:pPr>
              <w:pStyle w:val="178"/>
            </w:pPr>
            <w:r>
              <w:rPr>
                <w:rFonts w:hint="eastAsia"/>
              </w:rPr>
              <w:t>C25</w:t>
            </w:r>
          </w:p>
        </w:tc>
        <w:tc>
          <w:tcPr>
            <w:tcW w:w="1874" w:type="dxa"/>
            <w:shd w:val="clear" w:color="auto" w:fill="auto"/>
            <w:vAlign w:val="center"/>
          </w:tcPr>
          <w:p>
            <w:pPr>
              <w:pStyle w:val="178"/>
            </w:pPr>
            <w:r>
              <w:rPr>
                <w:rFonts w:hint="eastAsia"/>
              </w:rPr>
              <w:t>C25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8" w:type="dxa"/>
            <w:vMerge w:val="continue"/>
            <w:shd w:val="clear" w:color="auto" w:fill="auto"/>
            <w:vAlign w:val="center"/>
          </w:tcPr>
          <w:p>
            <w:pPr>
              <w:pStyle w:val="178"/>
            </w:pPr>
          </w:p>
        </w:tc>
        <w:tc>
          <w:tcPr>
            <w:tcW w:w="1874" w:type="dxa"/>
            <w:shd w:val="clear" w:color="auto" w:fill="auto"/>
            <w:vAlign w:val="center"/>
          </w:tcPr>
          <w:p>
            <w:pPr>
              <w:pStyle w:val="178"/>
            </w:pPr>
            <w:r>
              <w:rPr>
                <w:rFonts w:hint="eastAsia"/>
              </w:rPr>
              <w:t>抗冻等级</w:t>
            </w:r>
          </w:p>
        </w:tc>
        <w:tc>
          <w:tcPr>
            <w:tcW w:w="1874" w:type="dxa"/>
            <w:shd w:val="clear" w:color="auto" w:fill="auto"/>
            <w:vAlign w:val="center"/>
          </w:tcPr>
          <w:p>
            <w:pPr>
              <w:pStyle w:val="178"/>
            </w:pPr>
            <w:r>
              <w:rPr>
                <w:rFonts w:hint="eastAsia"/>
              </w:rPr>
              <w:t>F200</w:t>
            </w:r>
          </w:p>
        </w:tc>
        <w:tc>
          <w:tcPr>
            <w:tcW w:w="1874" w:type="dxa"/>
            <w:shd w:val="clear" w:color="auto" w:fill="auto"/>
            <w:vAlign w:val="center"/>
          </w:tcPr>
          <w:p>
            <w:pPr>
              <w:pStyle w:val="178"/>
            </w:pPr>
            <w:r>
              <w:rPr>
                <w:rFonts w:hint="eastAsia"/>
              </w:rPr>
              <w:t>F150</w:t>
            </w:r>
          </w:p>
        </w:tc>
        <w:tc>
          <w:tcPr>
            <w:tcW w:w="1874" w:type="dxa"/>
            <w:shd w:val="clear" w:color="auto" w:fill="auto"/>
            <w:vAlign w:val="center"/>
          </w:tcPr>
          <w:p>
            <w:pPr>
              <w:pStyle w:val="178"/>
            </w:pPr>
            <w:r>
              <w:rPr>
                <w:rFonts w:hint="eastAsia"/>
              </w:rPr>
              <w:t>F100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8" w:type="dxa"/>
            <w:vMerge w:val="continue"/>
            <w:shd w:val="clear" w:color="auto" w:fill="auto"/>
            <w:vAlign w:val="center"/>
          </w:tcPr>
          <w:p>
            <w:pPr>
              <w:pStyle w:val="178"/>
            </w:pPr>
          </w:p>
        </w:tc>
        <w:tc>
          <w:tcPr>
            <w:tcW w:w="1874" w:type="dxa"/>
            <w:shd w:val="clear" w:color="auto" w:fill="auto"/>
            <w:vAlign w:val="center"/>
          </w:tcPr>
          <w:p>
            <w:pPr>
              <w:pStyle w:val="178"/>
            </w:pPr>
            <w:r>
              <w:rPr>
                <w:rFonts w:hint="eastAsia"/>
              </w:rPr>
              <w:t>抗渗等级</w:t>
            </w:r>
          </w:p>
        </w:tc>
        <w:tc>
          <w:tcPr>
            <w:tcW w:w="5622" w:type="dxa"/>
            <w:gridSpan w:val="3"/>
            <w:shd w:val="clear" w:color="auto" w:fill="auto"/>
            <w:vAlign w:val="center"/>
          </w:tcPr>
          <w:p>
            <w:pPr>
              <w:pStyle w:val="178"/>
            </w:pPr>
            <w:r>
              <w:rPr>
                <w:rFonts w:hint="eastAsia"/>
              </w:rPr>
              <w:t>≥W6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8" w:type="dxa"/>
            <w:vMerge w:val="restart"/>
            <w:shd w:val="clear" w:color="auto" w:fill="auto"/>
            <w:vAlign w:val="center"/>
          </w:tcPr>
          <w:p>
            <w:pPr>
              <w:pStyle w:val="56"/>
              <w:ind w:firstLine="540" w:firstLineChars="300"/>
              <w:rPr>
                <w:sz w:val="18"/>
                <w:szCs w:val="18"/>
              </w:rPr>
            </w:pPr>
            <w:r>
              <w:rPr>
                <w:rFonts w:hint="eastAsia"/>
                <w:sz w:val="18"/>
                <w:szCs w:val="18"/>
              </w:rPr>
              <w:t>严重侵蚀</w:t>
            </w:r>
          </w:p>
        </w:tc>
        <w:tc>
          <w:tcPr>
            <w:tcW w:w="1874" w:type="dxa"/>
            <w:shd w:val="clear" w:color="auto" w:fill="auto"/>
            <w:vAlign w:val="center"/>
          </w:tcPr>
          <w:p>
            <w:pPr>
              <w:pStyle w:val="178"/>
            </w:pPr>
            <w:r>
              <w:rPr>
                <w:rFonts w:hint="eastAsia"/>
              </w:rPr>
              <w:t>强度等级</w:t>
            </w:r>
          </w:p>
        </w:tc>
        <w:tc>
          <w:tcPr>
            <w:tcW w:w="1874" w:type="dxa"/>
            <w:shd w:val="clear" w:color="auto" w:fill="auto"/>
            <w:vAlign w:val="center"/>
          </w:tcPr>
          <w:p>
            <w:pPr>
              <w:pStyle w:val="178"/>
            </w:pPr>
            <w:r>
              <w:rPr>
                <w:rFonts w:hint="eastAsia"/>
              </w:rPr>
              <w:t>C35</w:t>
            </w:r>
          </w:p>
        </w:tc>
        <w:tc>
          <w:tcPr>
            <w:tcW w:w="1874" w:type="dxa"/>
            <w:shd w:val="clear" w:color="auto" w:fill="auto"/>
            <w:vAlign w:val="center"/>
          </w:tcPr>
          <w:p>
            <w:pPr>
              <w:pStyle w:val="178"/>
            </w:pPr>
            <w:r>
              <w:rPr>
                <w:rFonts w:hint="eastAsia"/>
              </w:rPr>
              <w:t>C30</w:t>
            </w:r>
          </w:p>
        </w:tc>
        <w:tc>
          <w:tcPr>
            <w:tcW w:w="1874" w:type="dxa"/>
            <w:shd w:val="clear" w:color="auto" w:fill="auto"/>
            <w:vAlign w:val="center"/>
          </w:tcPr>
          <w:p>
            <w:pPr>
              <w:pStyle w:val="178"/>
            </w:pPr>
            <w:r>
              <w:rPr>
                <w:rFonts w:hint="eastAsia"/>
              </w:rPr>
              <w:t>C25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8" w:type="dxa"/>
            <w:vMerge w:val="continue"/>
            <w:shd w:val="clear" w:color="auto" w:fill="auto"/>
            <w:vAlign w:val="center"/>
          </w:tcPr>
          <w:p>
            <w:pPr>
              <w:pStyle w:val="178"/>
              <w:jc w:val="both"/>
            </w:pPr>
          </w:p>
        </w:tc>
        <w:tc>
          <w:tcPr>
            <w:tcW w:w="1874" w:type="dxa"/>
            <w:shd w:val="clear" w:color="auto" w:fill="auto"/>
            <w:vAlign w:val="center"/>
          </w:tcPr>
          <w:p>
            <w:pPr>
              <w:pStyle w:val="178"/>
            </w:pPr>
            <w:r>
              <w:rPr>
                <w:rFonts w:hint="eastAsia"/>
              </w:rPr>
              <w:t>抗冻等级</w:t>
            </w:r>
          </w:p>
        </w:tc>
        <w:tc>
          <w:tcPr>
            <w:tcW w:w="1874" w:type="dxa"/>
            <w:shd w:val="clear" w:color="auto" w:fill="auto"/>
            <w:vAlign w:val="center"/>
          </w:tcPr>
          <w:p>
            <w:pPr>
              <w:pStyle w:val="178"/>
            </w:pPr>
            <w:r>
              <w:rPr>
                <w:rFonts w:hint="eastAsia"/>
              </w:rPr>
              <w:t>F250</w:t>
            </w:r>
          </w:p>
        </w:tc>
        <w:tc>
          <w:tcPr>
            <w:tcW w:w="1874" w:type="dxa"/>
            <w:shd w:val="clear" w:color="auto" w:fill="auto"/>
            <w:vAlign w:val="center"/>
          </w:tcPr>
          <w:p>
            <w:pPr>
              <w:pStyle w:val="178"/>
            </w:pPr>
            <w:r>
              <w:rPr>
                <w:rFonts w:hint="eastAsia"/>
              </w:rPr>
              <w:t>F200</w:t>
            </w:r>
          </w:p>
        </w:tc>
        <w:tc>
          <w:tcPr>
            <w:tcW w:w="1874" w:type="dxa"/>
            <w:shd w:val="clear" w:color="auto" w:fill="auto"/>
            <w:vAlign w:val="center"/>
          </w:tcPr>
          <w:p>
            <w:pPr>
              <w:pStyle w:val="178"/>
            </w:pPr>
            <w:r>
              <w:rPr>
                <w:rFonts w:hint="eastAsia"/>
              </w:rPr>
              <w:t>F150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8" w:type="dxa"/>
            <w:vMerge w:val="continue"/>
            <w:tcBorders>
              <w:bottom w:val="single" w:color="auto" w:sz="8" w:space="0"/>
            </w:tcBorders>
            <w:shd w:val="clear" w:color="auto" w:fill="auto"/>
            <w:vAlign w:val="center"/>
          </w:tcPr>
          <w:p>
            <w:pPr>
              <w:pStyle w:val="178"/>
            </w:pPr>
          </w:p>
        </w:tc>
        <w:tc>
          <w:tcPr>
            <w:tcW w:w="1874" w:type="dxa"/>
            <w:tcBorders>
              <w:bottom w:val="single" w:color="auto" w:sz="8" w:space="0"/>
            </w:tcBorders>
            <w:shd w:val="clear" w:color="auto" w:fill="auto"/>
            <w:vAlign w:val="center"/>
          </w:tcPr>
          <w:p>
            <w:pPr>
              <w:pStyle w:val="178"/>
            </w:pPr>
            <w:r>
              <w:rPr>
                <w:rFonts w:hint="eastAsia"/>
              </w:rPr>
              <w:t>抗渗等级</w:t>
            </w:r>
          </w:p>
        </w:tc>
        <w:tc>
          <w:tcPr>
            <w:tcW w:w="5622" w:type="dxa"/>
            <w:gridSpan w:val="3"/>
            <w:tcBorders>
              <w:bottom w:val="single" w:color="auto" w:sz="8" w:space="0"/>
            </w:tcBorders>
            <w:shd w:val="clear" w:color="auto" w:fill="auto"/>
            <w:vAlign w:val="center"/>
          </w:tcPr>
          <w:p>
            <w:pPr>
              <w:pStyle w:val="178"/>
            </w:pPr>
            <w:r>
              <w:rPr>
                <w:rFonts w:hint="eastAsia"/>
              </w:rPr>
              <w:t>≥W8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5"/>
            <w:tcBorders>
              <w:top w:val="single" w:color="auto" w:sz="8" w:space="0"/>
              <w:bottom w:val="single" w:color="auto" w:sz="8" w:space="0"/>
            </w:tcBorders>
            <w:shd w:val="clear" w:color="auto" w:fill="auto"/>
            <w:vAlign w:val="center"/>
          </w:tcPr>
          <w:p>
            <w:pPr>
              <w:pStyle w:val="56"/>
              <w:ind w:firstLine="360"/>
              <w:rPr>
                <w:rFonts w:hint="eastAsia"/>
                <w:sz w:val="18"/>
                <w:szCs w:val="18"/>
              </w:rPr>
            </w:pPr>
            <w:r>
              <w:rPr>
                <w:rFonts w:hint="eastAsia"/>
                <w:sz w:val="18"/>
                <w:szCs w:val="18"/>
              </w:rPr>
              <w:t>注：1. 强度等级的单位为MPa；</w:t>
            </w:r>
          </w:p>
          <w:p>
            <w:pPr>
              <w:pStyle w:val="56"/>
              <w:ind w:firstLine="720" w:firstLineChars="400"/>
              <w:rPr>
                <w:rFonts w:hint="eastAsia"/>
                <w:sz w:val="18"/>
                <w:szCs w:val="18"/>
              </w:rPr>
            </w:pPr>
            <w:r>
              <w:rPr>
                <w:rFonts w:hint="eastAsia"/>
                <w:sz w:val="18"/>
                <w:szCs w:val="18"/>
              </w:rPr>
              <w:t>2. 抗冻等级的单位为快速冻融循环次数；</w:t>
            </w:r>
          </w:p>
          <w:p>
            <w:pPr>
              <w:pStyle w:val="56"/>
              <w:ind w:firstLine="720" w:firstLineChars="400"/>
              <w:rPr>
                <w:rFonts w:hint="eastAsia"/>
              </w:rPr>
            </w:pPr>
            <w:r>
              <w:rPr>
                <w:rFonts w:hint="eastAsia"/>
                <w:sz w:val="18"/>
                <w:szCs w:val="18"/>
              </w:rPr>
              <w:t>3. 抗渗等级的单位为0.1 Mpa。</w:t>
            </w:r>
          </w:p>
        </w:tc>
      </w:tr>
    </w:tbl>
    <w:p>
      <w:pPr>
        <w:pStyle w:val="164"/>
      </w:pPr>
      <w:r>
        <w:rPr>
          <w:rFonts w:hint="eastAsia"/>
        </w:rPr>
        <w:t>渠床土质渗透性强、地下水位相对较低、输水渗漏损失严重的渠道，宜采取防渗措施。河（湖）灌区以输水功能为主的主干渠道，常水位以下宜采用衬砌防渗，常水位至设计水位宜采用生态防渗技术，设计水位以上宜采用草皮护坡。对于灌排结合的输配水沟渠，兼有灌溉输配水、排洪排涝排渍和雨洪补源的功能，渠道不宜衬砌，但对于水流变化较急、易坍塌的危险沟、渠段，可进行衬砌加固。</w:t>
      </w:r>
    </w:p>
    <w:p>
      <w:pPr>
        <w:pStyle w:val="164"/>
      </w:pPr>
      <w:r>
        <w:rPr>
          <w:rFonts w:hint="eastAsia"/>
        </w:rPr>
        <w:t>渠道防渗衬砌工程相关技术参数参照GB/T 50600执行。</w:t>
      </w:r>
    </w:p>
    <w:p>
      <w:pPr>
        <w:pStyle w:val="65"/>
        <w:spacing w:before="156" w:after="156"/>
      </w:pPr>
      <w:bookmarkStart w:id="68" w:name="_Toc183181864"/>
      <w:bookmarkStart w:id="69" w:name="_Toc183183481"/>
      <w:r>
        <w:rPr>
          <w:rFonts w:hint="eastAsia"/>
        </w:rPr>
        <w:t>管道输水灌溉工程</w:t>
      </w:r>
      <w:bookmarkEnd w:id="68"/>
      <w:bookmarkEnd w:id="69"/>
    </w:p>
    <w:p>
      <w:pPr>
        <w:pStyle w:val="164"/>
      </w:pPr>
      <w:r>
        <w:rPr>
          <w:rFonts w:hint="eastAsia"/>
        </w:rPr>
        <w:t>管道系统结构类型应采用开敞式管道输水灌溉系统、半封闭式管道输水灌溉系统或全封闭式管道输水灌溉系统。管道系统类型及管网布置形式应根据水源位置、地形地貌、田间灌溉型式等合理确定。</w:t>
      </w:r>
    </w:p>
    <w:p>
      <w:pPr>
        <w:pStyle w:val="164"/>
      </w:pPr>
      <w:r>
        <w:rPr>
          <w:rFonts w:hint="eastAsia"/>
        </w:rPr>
        <w:t>给水栓应结构合理、坚固耐用、密封性好、操作灵活、运行管理方便、水利性能好。</w:t>
      </w:r>
    </w:p>
    <w:p>
      <w:pPr>
        <w:pStyle w:val="164"/>
      </w:pPr>
      <w:r>
        <w:rPr>
          <w:rFonts w:hint="eastAsia"/>
        </w:rPr>
        <w:t>管道输水灌溉工程相关技术参数参照GB/T 20203执行。</w:t>
      </w:r>
    </w:p>
    <w:p>
      <w:pPr>
        <w:pStyle w:val="65"/>
        <w:spacing w:before="156" w:after="156"/>
      </w:pPr>
      <w:bookmarkStart w:id="70" w:name="_Toc183183482"/>
      <w:bookmarkStart w:id="71" w:name="_Toc183181865"/>
      <w:r>
        <w:rPr>
          <w:rFonts w:hint="eastAsia"/>
        </w:rPr>
        <w:t>微灌工程</w:t>
      </w:r>
      <w:bookmarkEnd w:id="70"/>
      <w:bookmarkEnd w:id="71"/>
    </w:p>
    <w:p>
      <w:pPr>
        <w:pStyle w:val="164"/>
      </w:pPr>
      <w:r>
        <w:rPr>
          <w:rFonts w:hint="eastAsia"/>
        </w:rPr>
        <w:t>微喷灌工程宜采取连片开发、整体设计、分期实施的方式，形成具有适度规模的微喷灌系统。</w:t>
      </w:r>
    </w:p>
    <w:p>
      <w:pPr>
        <w:pStyle w:val="164"/>
      </w:pPr>
      <w:r>
        <w:rPr>
          <w:rFonts w:hint="eastAsia"/>
        </w:rPr>
        <w:t>微喷灌工程应优先考虑园林绿地及蔬菜、果树、花卉等高附加值的作物，灌溉水源缺乏的地区、高扬程提水灌区、受土壤或地形限制难以实施地面灌溉的地区和有自压喷灌条件的地区，集中连片作物种植区及技术水平较高的地区。</w:t>
      </w:r>
    </w:p>
    <w:p>
      <w:pPr>
        <w:pStyle w:val="164"/>
      </w:pPr>
      <w:r>
        <w:rPr>
          <w:rFonts w:hint="eastAsia"/>
        </w:rPr>
        <w:t>微喷灌系统宜与农业适度规模经营协调一致。有条件时，微喷灌系统可与乡镇供水相结合。宜配套施肥设施设备，实行水肥(药)一体化灌溉。</w:t>
      </w:r>
    </w:p>
    <w:p>
      <w:pPr>
        <w:pStyle w:val="164"/>
      </w:pPr>
      <w:r>
        <w:rPr>
          <w:rFonts w:hint="eastAsia"/>
        </w:rPr>
        <w:t>微喷灌工程相关技术参数应参照GB/T 50485、GB/T 50085执行。</w:t>
      </w:r>
    </w:p>
    <w:p>
      <w:pPr>
        <w:pStyle w:val="164"/>
      </w:pPr>
      <w:r>
        <w:rPr>
          <w:rFonts w:hint="eastAsia"/>
        </w:rPr>
        <w:t>滴灌区范围应综合考虑水源、可供水量、地形、土壤条件，根据计划灌溉的农作物确定灌溉面积。</w:t>
      </w:r>
    </w:p>
    <w:p>
      <w:pPr>
        <w:pStyle w:val="164"/>
      </w:pPr>
      <w:r>
        <w:rPr>
          <w:rFonts w:hint="eastAsia"/>
        </w:rPr>
        <w:t>管网布置应根据地形、农作物种类、株行距、管理方便和工程造价等因素，通过方案比较确定。对主要管线进行合理布设，对管材和管径进行比选。条件允许时滴灌系统可采用自动控制系统。</w:t>
      </w:r>
    </w:p>
    <w:p>
      <w:pPr>
        <w:pStyle w:val="65"/>
        <w:spacing w:before="156" w:after="156"/>
      </w:pPr>
      <w:bookmarkStart w:id="72" w:name="_Toc183183483"/>
      <w:bookmarkStart w:id="73" w:name="_Toc183181866"/>
      <w:r>
        <w:rPr>
          <w:rFonts w:hint="eastAsia"/>
        </w:rPr>
        <w:t>地面灌工程</w:t>
      </w:r>
      <w:bookmarkEnd w:id="72"/>
      <w:bookmarkEnd w:id="73"/>
    </w:p>
    <w:p>
      <w:pPr>
        <w:pStyle w:val="164"/>
      </w:pPr>
      <w:r>
        <w:rPr>
          <w:rFonts w:hint="eastAsia"/>
        </w:rPr>
        <w:t>地面灌工程主要包括沟灌、畦灌、淹灌。宽行距旱作物宜采用沟灌；密植作物宜采用畦灌；水稻宜采用淹灌。</w:t>
      </w:r>
    </w:p>
    <w:p>
      <w:pPr>
        <w:pStyle w:val="164"/>
      </w:pPr>
      <w:r>
        <w:rPr>
          <w:rFonts w:hint="eastAsia"/>
        </w:rPr>
        <w:t>畦灌、沟灌相关技术参数见附录A表A.1、表A.2。</w:t>
      </w:r>
    </w:p>
    <w:p>
      <w:pPr>
        <w:pStyle w:val="164"/>
      </w:pPr>
      <w:r>
        <w:rPr>
          <w:rFonts w:hint="eastAsia"/>
        </w:rPr>
        <w:t>水稻可采用控制灌溉。</w:t>
      </w:r>
    </w:p>
    <w:p>
      <w:pPr>
        <w:pStyle w:val="164"/>
      </w:pPr>
      <w:r>
        <w:rPr>
          <w:rFonts w:hint="eastAsia"/>
        </w:rPr>
        <w:t>地面灌相关技术参数应参照S</w:t>
      </w:r>
      <w:r>
        <w:t>L</w:t>
      </w:r>
      <w:r>
        <w:rPr>
          <w:rFonts w:hint="eastAsia"/>
        </w:rPr>
        <w:t>/T</w:t>
      </w:r>
      <w:r>
        <w:t xml:space="preserve"> 246</w:t>
      </w:r>
      <w:r>
        <w:rPr>
          <w:rFonts w:hint="eastAsia"/>
        </w:rPr>
        <w:t>执行。</w:t>
      </w:r>
    </w:p>
    <w:p>
      <w:pPr>
        <w:pStyle w:val="65"/>
        <w:spacing w:before="156" w:after="156"/>
      </w:pPr>
      <w:bookmarkStart w:id="74" w:name="_Toc183183484"/>
      <w:bookmarkStart w:id="75" w:name="_Toc183181867"/>
      <w:r>
        <w:rPr>
          <w:rFonts w:hint="eastAsia"/>
        </w:rPr>
        <w:t>计量器具</w:t>
      </w:r>
      <w:bookmarkEnd w:id="74"/>
      <w:bookmarkEnd w:id="75"/>
      <w:r>
        <w:rPr>
          <w:rFonts w:hint="eastAsia"/>
        </w:rPr>
        <w:t xml:space="preserve"> </w:t>
      </w:r>
    </w:p>
    <w:p>
      <w:pPr>
        <w:pStyle w:val="164"/>
      </w:pPr>
      <w:r>
        <w:rPr>
          <w:rFonts w:hint="eastAsia"/>
        </w:rPr>
        <w:t>灌溉渠道系统宜采用流速仪量水、标准断面法量水、渠系建筑物量水、量水槽量水等方法。</w:t>
      </w:r>
    </w:p>
    <w:p>
      <w:pPr>
        <w:pStyle w:val="164"/>
      </w:pPr>
      <w:r>
        <w:rPr>
          <w:rFonts w:hint="eastAsia"/>
        </w:rPr>
        <w:t>输水管道等宜采用管道流量计计量。</w:t>
      </w:r>
    </w:p>
    <w:p>
      <w:pPr>
        <w:pStyle w:val="164"/>
      </w:pPr>
      <w:r>
        <w:rPr>
          <w:rFonts w:hint="eastAsia"/>
        </w:rPr>
        <w:t>量水相关参数应满足GB/T 21303要求。</w:t>
      </w:r>
    </w:p>
    <w:p>
      <w:pPr>
        <w:pStyle w:val="104"/>
        <w:spacing w:before="312" w:after="312"/>
      </w:pPr>
      <w:bookmarkStart w:id="76" w:name="_Toc183181868"/>
      <w:bookmarkStart w:id="77" w:name="_Toc183183485"/>
      <w:r>
        <w:rPr>
          <w:rFonts w:hint="eastAsia"/>
        </w:rPr>
        <w:t>节水管理</w:t>
      </w:r>
      <w:bookmarkEnd w:id="76"/>
      <w:bookmarkEnd w:id="77"/>
    </w:p>
    <w:p>
      <w:pPr>
        <w:pStyle w:val="105"/>
        <w:spacing w:before="156" w:after="156"/>
      </w:pPr>
      <w:bookmarkStart w:id="78" w:name="_Toc183183486"/>
      <w:bookmarkStart w:id="79" w:name="_Toc183181869"/>
      <w:r>
        <w:rPr>
          <w:rFonts w:hint="eastAsia"/>
        </w:rPr>
        <w:t>组织建设管理</w:t>
      </w:r>
      <w:bookmarkEnd w:id="78"/>
      <w:bookmarkEnd w:id="79"/>
    </w:p>
    <w:p>
      <w:pPr>
        <w:pStyle w:val="165"/>
      </w:pPr>
      <w:r>
        <w:rPr>
          <w:rFonts w:hint="eastAsia"/>
        </w:rPr>
        <w:t>应开展规划、新建、续建灌区节水评价，落实节水方案与保障措施。</w:t>
      </w:r>
    </w:p>
    <w:p>
      <w:pPr>
        <w:pStyle w:val="165"/>
      </w:pPr>
      <w:r>
        <w:rPr>
          <w:rFonts w:hint="eastAsia"/>
        </w:rPr>
        <w:t>应成立灌区专职节水管理机构，有专职管理人员，岗位责任明确。</w:t>
      </w:r>
    </w:p>
    <w:p>
      <w:pPr>
        <w:pStyle w:val="165"/>
      </w:pPr>
      <w:r>
        <w:rPr>
          <w:rFonts w:hint="eastAsia"/>
        </w:rPr>
        <w:t>应制定灌区节约用水制度。节约用水制度应包含管理岗位责任、加强灌区用水总量控制和定额管理、计量和统计管理、用水巡查及设施维修、节水宣传、用水档案管理、奖惩方面的内容。</w:t>
      </w:r>
    </w:p>
    <w:p>
      <w:pPr>
        <w:pStyle w:val="105"/>
        <w:spacing w:before="156" w:after="156"/>
      </w:pPr>
      <w:bookmarkStart w:id="80" w:name="_Toc183181870"/>
      <w:bookmarkStart w:id="81" w:name="_Toc183183487"/>
      <w:r>
        <w:rPr>
          <w:rFonts w:hint="eastAsia"/>
        </w:rPr>
        <w:t>取水许可管理</w:t>
      </w:r>
      <w:bookmarkEnd w:id="80"/>
      <w:bookmarkEnd w:id="81"/>
    </w:p>
    <w:p>
      <w:pPr>
        <w:pStyle w:val="165"/>
      </w:pPr>
      <w:r>
        <w:rPr>
          <w:rFonts w:hint="eastAsia"/>
        </w:rPr>
        <w:t>取用江河、湖泊、水库或者地下取用水资源的灌区，应当向水行政主管部门申领取水许可证，按照取水许可规定条件取水。</w:t>
      </w:r>
    </w:p>
    <w:p>
      <w:pPr>
        <w:pStyle w:val="165"/>
      </w:pPr>
      <w:r>
        <w:rPr>
          <w:rFonts w:hint="eastAsia"/>
        </w:rPr>
        <w:t>取水灌区应加强专管巡管，开展对许可审批人员的日常培训，并落实相关节水管理制度、健全统计台账，水行政主管部门应当加强取水许可用水的指导、协调，建立重点用水单位监控名录，监督取水灌区建立健全统计台帐，实施用水在线监控和动态管理。</w:t>
      </w:r>
    </w:p>
    <w:p>
      <w:pPr>
        <w:pStyle w:val="105"/>
        <w:spacing w:before="156" w:after="156"/>
      </w:pPr>
      <w:bookmarkStart w:id="82" w:name="_Toc183183488"/>
      <w:bookmarkStart w:id="83" w:name="_Toc183181871"/>
      <w:r>
        <w:rPr>
          <w:rFonts w:hint="eastAsia"/>
        </w:rPr>
        <w:t>计划用水管理</w:t>
      </w:r>
      <w:bookmarkEnd w:id="82"/>
      <w:bookmarkEnd w:id="83"/>
    </w:p>
    <w:p>
      <w:pPr>
        <w:pStyle w:val="65"/>
        <w:spacing w:before="156" w:after="156"/>
      </w:pPr>
      <w:bookmarkStart w:id="84" w:name="_Toc183183489"/>
      <w:bookmarkStart w:id="85" w:name="_Toc183181872"/>
      <w:r>
        <w:rPr>
          <w:rFonts w:hint="eastAsia"/>
        </w:rPr>
        <w:t>用水计划申请</w:t>
      </w:r>
      <w:bookmarkEnd w:id="84"/>
      <w:bookmarkEnd w:id="85"/>
    </w:p>
    <w:p>
      <w:pPr>
        <w:pStyle w:val="164"/>
      </w:pPr>
      <w:r>
        <w:rPr>
          <w:rFonts w:hint="eastAsia"/>
        </w:rPr>
        <w:t>灌区用水户应按照《计划用水管理办法》、《江苏省计划用水管理办法》及宿迁市计划用水管理要求及时向县级以上地方人民政府水行政主管部门申报用水计划。</w:t>
      </w:r>
    </w:p>
    <w:p>
      <w:pPr>
        <w:pStyle w:val="164"/>
      </w:pPr>
      <w:r>
        <w:rPr>
          <w:rFonts w:hint="eastAsia"/>
        </w:rPr>
        <w:t>灌区用水计划申报材料应包括年度用水计划建议、用水情况总结等。用水户应依据控制灌溉面积及作物种植结构计划，按照不同作物用水定额、近三年农业用水总量，提出用水计划建议。</w:t>
      </w:r>
    </w:p>
    <w:p>
      <w:pPr>
        <w:pStyle w:val="164"/>
      </w:pPr>
      <w:r>
        <w:rPr>
          <w:rFonts w:hint="eastAsia"/>
        </w:rPr>
        <w:t>灌溉期间，灌区用水专业合作组织应根据镇域范围内不同取水水源各计量单元灌域农作物用水、需水情况，向灌溉供水管理单位申报各计量单元阶段性（月、旬度）用水计划。</w:t>
      </w:r>
    </w:p>
    <w:p>
      <w:pPr>
        <w:pStyle w:val="65"/>
        <w:spacing w:before="156" w:after="156"/>
      </w:pPr>
      <w:bookmarkStart w:id="86" w:name="_Toc183181873"/>
      <w:bookmarkStart w:id="87" w:name="_Toc183183490"/>
      <w:r>
        <w:rPr>
          <w:rFonts w:hint="eastAsia"/>
        </w:rPr>
        <w:t>用水计划分解、执行</w:t>
      </w:r>
      <w:bookmarkEnd w:id="86"/>
      <w:bookmarkEnd w:id="87"/>
    </w:p>
    <w:p>
      <w:pPr>
        <w:pStyle w:val="164"/>
      </w:pPr>
      <w:r>
        <w:rPr>
          <w:rFonts w:hint="eastAsia"/>
        </w:rPr>
        <w:t>水行政主管部门宜根据灌区年度用水计划建议、申请文件核定并批准用水计划。</w:t>
      </w:r>
    </w:p>
    <w:p>
      <w:pPr>
        <w:pStyle w:val="164"/>
      </w:pPr>
      <w:r>
        <w:rPr>
          <w:rFonts w:hint="eastAsia"/>
        </w:rPr>
        <w:t>灌区用水户应当将水行政主管部门下达的用水计划及时分解落实，并加强内部用水考核，不得突破用水计划。</w:t>
      </w:r>
    </w:p>
    <w:p>
      <w:pPr>
        <w:pStyle w:val="65"/>
        <w:spacing w:before="156" w:after="156"/>
      </w:pPr>
      <w:bookmarkStart w:id="88" w:name="_Toc183181874"/>
      <w:bookmarkStart w:id="89" w:name="_Toc183183491"/>
      <w:r>
        <w:rPr>
          <w:rFonts w:hint="eastAsia"/>
        </w:rPr>
        <w:t>用水计划调整</w:t>
      </w:r>
      <w:bookmarkEnd w:id="88"/>
      <w:bookmarkEnd w:id="89"/>
    </w:p>
    <w:p>
      <w:pPr>
        <w:pStyle w:val="164"/>
      </w:pPr>
      <w:r>
        <w:rPr>
          <w:rFonts w:hint="eastAsia"/>
        </w:rPr>
        <w:t>灌区因种植结构和灌溉面积等变化需要调整年计划用水总量的，应当向水行政主管部门提出调整建议，并提交计划用水总量增减原因的说明和相关证明材料。</w:t>
      </w:r>
    </w:p>
    <w:p>
      <w:pPr>
        <w:pStyle w:val="164"/>
      </w:pPr>
      <w:r>
        <w:rPr>
          <w:rFonts w:hint="eastAsia"/>
        </w:rPr>
        <w:t>灌区用水总量超计划用水30</w:t>
      </w:r>
      <w:r>
        <w:t> </w:t>
      </w:r>
      <w:r>
        <w:rPr>
          <w:rFonts w:hint="eastAsia"/>
        </w:rPr>
        <w:t>%以上的，水行政主管部门应当对其开展用水审计，查找超计划用水原因，制定节约用水方案和措施，并对存在问题限期进行整改。</w:t>
      </w:r>
    </w:p>
    <w:p>
      <w:pPr>
        <w:pStyle w:val="65"/>
        <w:spacing w:before="156" w:after="156"/>
      </w:pPr>
      <w:bookmarkStart w:id="90" w:name="_Toc183181875"/>
      <w:bookmarkStart w:id="91" w:name="_Toc183183492"/>
      <w:r>
        <w:rPr>
          <w:rFonts w:hint="eastAsia"/>
        </w:rPr>
        <w:t>定额用水管理</w:t>
      </w:r>
      <w:bookmarkEnd w:id="90"/>
      <w:bookmarkEnd w:id="91"/>
    </w:p>
    <w:p>
      <w:pPr>
        <w:pStyle w:val="164"/>
      </w:pPr>
      <w:r>
        <w:rPr>
          <w:rFonts w:hint="eastAsia"/>
        </w:rPr>
        <w:t>应对灌区用水量及相应的用水定额进行检查，灌区宜按照先进定额进行考核管理。</w:t>
      </w:r>
    </w:p>
    <w:p>
      <w:pPr>
        <w:pStyle w:val="164"/>
      </w:pPr>
      <w:r>
        <w:rPr>
          <w:rFonts w:hint="eastAsia"/>
        </w:rPr>
        <w:t>存在超定额用水的，灌区用水主体应当制定并落实整改措施，限期实施节水改造。</w:t>
      </w:r>
    </w:p>
    <w:p>
      <w:pPr>
        <w:pStyle w:val="105"/>
        <w:spacing w:before="156" w:after="156"/>
      </w:pPr>
      <w:bookmarkStart w:id="92" w:name="_Toc183183493"/>
      <w:bookmarkStart w:id="93" w:name="_Toc183181876"/>
      <w:r>
        <w:rPr>
          <w:rFonts w:hint="eastAsia"/>
        </w:rPr>
        <w:t>用水统计管理</w:t>
      </w:r>
      <w:bookmarkEnd w:id="92"/>
      <w:bookmarkEnd w:id="93"/>
    </w:p>
    <w:p>
      <w:pPr>
        <w:pStyle w:val="165"/>
      </w:pPr>
      <w:r>
        <w:rPr>
          <w:rFonts w:hint="eastAsia"/>
        </w:rPr>
        <w:t>灌区用水原始记录和统计台账应完整可信、量测水设施满足测量精度要求。</w:t>
      </w:r>
    </w:p>
    <w:p>
      <w:pPr>
        <w:pStyle w:val="165"/>
      </w:pPr>
      <w:r>
        <w:rPr>
          <w:rFonts w:hint="eastAsia"/>
        </w:rPr>
        <w:t>宜利用信息化平台做好灌区的取用水信息的填报、分析、汇总等各项工作。</w:t>
      </w:r>
    </w:p>
    <w:p>
      <w:pPr>
        <w:pStyle w:val="105"/>
        <w:spacing w:before="156" w:after="156"/>
      </w:pPr>
      <w:bookmarkStart w:id="94" w:name="_Toc183183494"/>
      <w:bookmarkStart w:id="95" w:name="_Toc183181877"/>
      <w:r>
        <w:rPr>
          <w:rFonts w:hint="eastAsia"/>
        </w:rPr>
        <w:t>监督检查管理</w:t>
      </w:r>
      <w:bookmarkEnd w:id="94"/>
      <w:bookmarkEnd w:id="95"/>
    </w:p>
    <w:p>
      <w:pPr>
        <w:pStyle w:val="165"/>
      </w:pPr>
      <w:r>
        <w:rPr>
          <w:rFonts w:hint="eastAsia"/>
        </w:rPr>
        <w:t>水行政主管部门应当通过定期与不定期开展检查、调查等方式，加强对灌区用水户的监督管理。</w:t>
      </w:r>
    </w:p>
    <w:p>
      <w:pPr>
        <w:pStyle w:val="165"/>
      </w:pPr>
      <w:r>
        <w:rPr>
          <w:rFonts w:hint="eastAsia"/>
        </w:rPr>
        <w:t>灌区监督现场检查台账内容应包括取水台账、用水台账、节水管理台账等。</w:t>
      </w:r>
    </w:p>
    <w:p>
      <w:pPr>
        <w:pStyle w:val="165"/>
      </w:pPr>
      <w:r>
        <w:rPr>
          <w:rFonts w:hint="eastAsia"/>
        </w:rPr>
        <w:t>灌区监督检查现场实地查看内容应包括：</w:t>
      </w:r>
    </w:p>
    <w:p>
      <w:pPr>
        <w:pStyle w:val="174"/>
      </w:pPr>
      <w:r>
        <w:rPr>
          <w:rFonts w:hint="eastAsia"/>
        </w:rPr>
        <w:t>用水、退水计量设施布置、运行和分水源、分用途、分灌片（作物）计量状况；</w:t>
      </w:r>
    </w:p>
    <w:p>
      <w:pPr>
        <w:pStyle w:val="174"/>
      </w:pPr>
      <w:r>
        <w:rPr>
          <w:rFonts w:hint="eastAsia"/>
        </w:rPr>
        <w:t>节水宣传情况（节水标识标语、节水横幅、新媒体宣传等）；</w:t>
      </w:r>
    </w:p>
    <w:p>
      <w:pPr>
        <w:pStyle w:val="174"/>
      </w:pPr>
      <w:r>
        <w:rPr>
          <w:rFonts w:hint="eastAsia"/>
        </w:rPr>
        <w:t>主要用水场所节水设备、器具安装利用及漏损情况；</w:t>
      </w:r>
    </w:p>
    <w:p>
      <w:pPr>
        <w:pStyle w:val="174"/>
      </w:pPr>
      <w:r>
        <w:rPr>
          <w:rFonts w:hint="eastAsia"/>
        </w:rPr>
        <w:t>节水工程设施建设、运营情况；</w:t>
      </w:r>
    </w:p>
    <w:p>
      <w:pPr>
        <w:pStyle w:val="174"/>
      </w:pPr>
      <w:r>
        <w:rPr>
          <w:rFonts w:hint="eastAsia"/>
        </w:rPr>
        <w:t>雨水等非常规水源利用情况；</w:t>
      </w:r>
    </w:p>
    <w:p>
      <w:pPr>
        <w:pStyle w:val="174"/>
      </w:pPr>
      <w:r>
        <w:rPr>
          <w:rFonts w:hint="eastAsia"/>
        </w:rPr>
        <w:t>节水新工艺、新技术、新设备引进情况。</w:t>
      </w:r>
    </w:p>
    <w:p>
      <w:pPr>
        <w:pStyle w:val="105"/>
        <w:spacing w:before="156" w:after="156"/>
      </w:pPr>
      <w:bookmarkStart w:id="96" w:name="_Toc183181878"/>
      <w:bookmarkStart w:id="97" w:name="_Toc183183495"/>
      <w:r>
        <w:rPr>
          <w:rFonts w:hint="eastAsia"/>
        </w:rPr>
        <w:t>节水宣传管理</w:t>
      </w:r>
      <w:bookmarkEnd w:id="96"/>
      <w:bookmarkEnd w:id="97"/>
    </w:p>
    <w:p>
      <w:pPr>
        <w:pStyle w:val="165"/>
      </w:pPr>
      <w:r>
        <w:rPr>
          <w:rFonts w:hint="eastAsia"/>
        </w:rPr>
        <w:t>灌区应充分利用新闻媒体、灌排工程设施等，宣传普及节水知识，积极开展群众性节水宣传活动。</w:t>
      </w:r>
    </w:p>
    <w:p>
      <w:pPr>
        <w:pStyle w:val="165"/>
      </w:pPr>
      <w:r>
        <w:rPr>
          <w:rFonts w:hint="eastAsia"/>
        </w:rPr>
        <w:t>灌区应定期开展群众节水主题讲座。</w:t>
      </w:r>
    </w:p>
    <w:p>
      <w:pPr>
        <w:pStyle w:val="104"/>
        <w:spacing w:before="312" w:after="312"/>
      </w:pPr>
      <w:bookmarkStart w:id="98" w:name="_Toc183181879"/>
      <w:bookmarkStart w:id="99" w:name="_Toc183183496"/>
      <w:r>
        <w:rPr>
          <w:rFonts w:hint="eastAsia"/>
        </w:rPr>
        <w:t>节水评价与效益</w:t>
      </w:r>
      <w:bookmarkEnd w:id="98"/>
      <w:bookmarkEnd w:id="99"/>
    </w:p>
    <w:p>
      <w:pPr>
        <w:pStyle w:val="105"/>
        <w:spacing w:before="156" w:after="156"/>
      </w:pPr>
      <w:bookmarkStart w:id="100" w:name="_Toc183183497"/>
      <w:r>
        <w:rPr>
          <w:rFonts w:hint="eastAsia"/>
        </w:rPr>
        <w:t>灌区节水现状和效益调查</w:t>
      </w:r>
      <w:bookmarkEnd w:id="100"/>
    </w:p>
    <w:p>
      <w:pPr>
        <w:pStyle w:val="165"/>
      </w:pPr>
      <w:r>
        <w:rPr>
          <w:rFonts w:hint="eastAsia"/>
        </w:rPr>
        <w:t>应注重调查研究和效益跟踪监测（调查表见附录B），对节水灌溉工程实施后效益评价采用的数据资料应翔实可靠。</w:t>
      </w:r>
    </w:p>
    <w:p>
      <w:pPr>
        <w:pStyle w:val="165"/>
      </w:pPr>
      <w:r>
        <w:rPr>
          <w:rFonts w:hint="eastAsia"/>
        </w:rPr>
        <w:t>节水评价应符合国家相关法律法规政策和标准规范，满足用水总量和用水效率管控要求，与江河流域水量分配方案（协议）、相关规划中节水目标相协调，节水措施方案应符合当地实际情况、合理可行。</w:t>
      </w:r>
    </w:p>
    <w:p>
      <w:pPr>
        <w:pStyle w:val="105"/>
        <w:spacing w:before="156" w:after="156"/>
      </w:pPr>
      <w:bookmarkStart w:id="101" w:name="_Toc183183498"/>
      <w:r>
        <w:rPr>
          <w:rFonts w:hint="eastAsia"/>
        </w:rPr>
        <w:t>节水效益指标计算</w:t>
      </w:r>
      <w:bookmarkEnd w:id="101"/>
    </w:p>
    <w:p>
      <w:pPr>
        <w:pStyle w:val="165"/>
      </w:pPr>
      <w:r>
        <w:rPr>
          <w:rFonts w:hint="eastAsia"/>
        </w:rPr>
        <w:t>灌区节水效益应包括工程运行后实现的增产以及节水率等综合效益。</w:t>
      </w:r>
    </w:p>
    <w:p>
      <w:pPr>
        <w:pStyle w:val="165"/>
      </w:pPr>
      <w:r>
        <w:rPr>
          <w:rFonts w:hint="eastAsia"/>
        </w:rPr>
        <w:t>增产效益应按已发生年份的实际增产量或增产值计算。</w:t>
      </w:r>
    </w:p>
    <w:p>
      <w:pPr>
        <w:pStyle w:val="174"/>
        <w:numPr>
          <w:ilvl w:val="0"/>
          <w:numId w:val="32"/>
        </w:numPr>
      </w:pPr>
      <w:r>
        <w:rPr>
          <w:rFonts w:hint="eastAsia"/>
        </w:rPr>
        <w:t>农业技术措施基本相同时，主产品与副产品的增产值应等于有、无节水灌溉工程相比所增加的产值，可按本标准附录C公式（C.1)计算；</w:t>
      </w:r>
    </w:p>
    <w:p>
      <w:pPr>
        <w:pStyle w:val="174"/>
      </w:pPr>
      <w:r>
        <w:rPr>
          <w:rFonts w:hint="eastAsia"/>
        </w:rPr>
        <w:t>农业技术措施不同时，增产值的计算应在公式（C.1）中乘以工程效益分摊系数，其值可参考类似地区的已有成果或依据调查资料分析确定。无资料时，可按0.2</w:t>
      </w:r>
      <w:r>
        <w:rPr>
          <w:rFonts w:hint="eastAsia" w:hAnsi="宋体"/>
        </w:rPr>
        <w:t>～</w:t>
      </w:r>
      <w:r>
        <w:rPr>
          <w:rFonts w:hint="eastAsia"/>
        </w:rPr>
        <w:t>0.6进行估算，丰水年取小值，枯水年取大值。</w:t>
      </w:r>
    </w:p>
    <w:p>
      <w:pPr>
        <w:pStyle w:val="165"/>
      </w:pPr>
      <w:r>
        <w:rPr>
          <w:rFonts w:hint="eastAsia"/>
        </w:rPr>
        <w:t>灌区节水效益应按项目实施前后灌溉用水量间的差值进行分析计算，表述为节水率，可按本标准附录C公式（C.2)计算。</w:t>
      </w:r>
    </w:p>
    <w:p>
      <w:pPr>
        <w:pStyle w:val="165"/>
      </w:pPr>
      <w:r>
        <w:rPr>
          <w:rFonts w:hint="eastAsia"/>
        </w:rPr>
        <w:t>灌区实施节水灌溉工程后，受益区种植业综合生产能力应明显提高，水分生产效率应提高20</w:t>
      </w:r>
      <w:r>
        <w:t> </w:t>
      </w:r>
      <w:r>
        <w:rPr>
          <w:rFonts w:hint="eastAsia"/>
        </w:rPr>
        <w:t>%以上。</w:t>
      </w: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type="lines" w:linePitch="312" w:charSpace="0"/>
        </w:sectPr>
      </w:pPr>
    </w:p>
    <w:bookmarkEnd w:id="22"/>
    <w:p>
      <w:pPr>
        <w:pStyle w:val="198"/>
        <w:rPr>
          <w:vanish w:val="0"/>
        </w:rPr>
      </w:pPr>
      <w:bookmarkStart w:id="102" w:name="BookMark5"/>
    </w:p>
    <w:p>
      <w:pPr>
        <w:pStyle w:val="199"/>
        <w:rPr>
          <w:vanish w:val="0"/>
        </w:rPr>
      </w:pPr>
    </w:p>
    <w:p>
      <w:pPr>
        <w:pStyle w:val="76"/>
        <w:spacing w:after="156"/>
      </w:pPr>
      <w:r>
        <w:br w:type="textWrapping"/>
      </w:r>
      <w:bookmarkStart w:id="103" w:name="_Toc183181880"/>
      <w:bookmarkStart w:id="104" w:name="_Toc183183499"/>
      <w:r>
        <w:rPr>
          <w:rFonts w:hint="eastAsia"/>
        </w:rPr>
        <w:t>（资料性）</w:t>
      </w:r>
      <w:r>
        <w:br w:type="textWrapping"/>
      </w:r>
      <w:r>
        <w:rPr>
          <w:rFonts w:hint="eastAsia"/>
        </w:rPr>
        <w:t>畦、沟灌技术参数</w:t>
      </w:r>
      <w:bookmarkEnd w:id="103"/>
      <w:bookmarkEnd w:id="104"/>
    </w:p>
    <w:p>
      <w:pPr>
        <w:pStyle w:val="78"/>
        <w:spacing w:before="156" w:after="156"/>
      </w:pPr>
      <w:bookmarkStart w:id="105" w:name="_Toc183183500"/>
      <w:bookmarkStart w:id="106" w:name="_Toc183181881"/>
      <w:r>
        <w:rPr>
          <w:rFonts w:hint="eastAsia"/>
        </w:rPr>
        <w:t>畦灌技术参数</w:t>
      </w:r>
      <w:bookmarkEnd w:id="105"/>
      <w:bookmarkEnd w:id="106"/>
    </w:p>
    <w:p>
      <w:pPr>
        <w:pStyle w:val="56"/>
        <w:ind w:firstLine="420"/>
      </w:pPr>
      <w:r>
        <w:rPr>
          <w:rFonts w:hint="eastAsia"/>
        </w:rPr>
        <w:t>畦灌技术参数见表A.1。</w:t>
      </w:r>
    </w:p>
    <w:p>
      <w:pPr>
        <w:pStyle w:val="77"/>
        <w:spacing w:before="156" w:after="156"/>
      </w:pPr>
      <w:r>
        <w:rPr>
          <w:rFonts w:hint="eastAsia"/>
        </w:rPr>
        <w:t>畦灌技术参数</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719"/>
        <w:gridCol w:w="1126"/>
        <w:gridCol w:w="873"/>
        <w:gridCol w:w="888"/>
        <w:gridCol w:w="842"/>
        <w:gridCol w:w="821"/>
        <w:gridCol w:w="821"/>
        <w:gridCol w:w="821"/>
        <w:gridCol w:w="821"/>
        <w:gridCol w:w="821"/>
        <w:gridCol w:w="8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45" w:type="dxa"/>
            <w:gridSpan w:val="2"/>
            <w:tcBorders>
              <w:top w:val="single" w:color="auto" w:sz="8" w:space="0"/>
              <w:bottom w:val="single" w:color="auto" w:sz="8" w:space="0"/>
            </w:tcBorders>
            <w:shd w:val="clear" w:color="auto" w:fill="auto"/>
            <w:vAlign w:val="center"/>
          </w:tcPr>
          <w:p>
            <w:pPr>
              <w:pStyle w:val="178"/>
            </w:pPr>
            <w:r>
              <w:rPr>
                <w:rFonts w:hint="eastAsia"/>
              </w:rPr>
              <w:t>土壤种类</w:t>
            </w:r>
          </w:p>
        </w:tc>
        <w:tc>
          <w:tcPr>
            <w:tcW w:w="2603" w:type="dxa"/>
            <w:gridSpan w:val="3"/>
            <w:tcBorders>
              <w:top w:val="single" w:color="auto" w:sz="8" w:space="0"/>
              <w:bottom w:val="single" w:color="auto" w:sz="8" w:space="0"/>
            </w:tcBorders>
            <w:shd w:val="clear" w:color="auto" w:fill="auto"/>
            <w:vAlign w:val="center"/>
          </w:tcPr>
          <w:p>
            <w:pPr>
              <w:pStyle w:val="178"/>
            </w:pPr>
            <w:r>
              <w:rPr>
                <w:rFonts w:hint="eastAsia"/>
              </w:rPr>
              <w:t>砂壤土</w:t>
            </w:r>
          </w:p>
        </w:tc>
        <w:tc>
          <w:tcPr>
            <w:tcW w:w="2463" w:type="dxa"/>
            <w:gridSpan w:val="3"/>
            <w:tcBorders>
              <w:top w:val="single" w:color="auto" w:sz="8" w:space="0"/>
              <w:bottom w:val="single" w:color="auto" w:sz="8" w:space="0"/>
            </w:tcBorders>
            <w:shd w:val="clear" w:color="auto" w:fill="auto"/>
          </w:tcPr>
          <w:p>
            <w:pPr>
              <w:pStyle w:val="178"/>
            </w:pPr>
            <w:r>
              <w:rPr>
                <w:rFonts w:hint="eastAsia"/>
              </w:rPr>
              <w:t>轻壤土</w:t>
            </w:r>
          </w:p>
        </w:tc>
        <w:tc>
          <w:tcPr>
            <w:tcW w:w="2463" w:type="dxa"/>
            <w:gridSpan w:val="3"/>
            <w:tcBorders>
              <w:top w:val="single" w:color="auto" w:sz="8" w:space="0"/>
              <w:bottom w:val="single" w:color="auto" w:sz="8" w:space="0"/>
            </w:tcBorders>
            <w:shd w:val="clear" w:color="auto" w:fill="auto"/>
            <w:vAlign w:val="center"/>
          </w:tcPr>
          <w:p>
            <w:pPr>
              <w:pStyle w:val="178"/>
            </w:pPr>
            <w:r>
              <w:rPr>
                <w:rFonts w:hint="eastAsia"/>
              </w:rPr>
              <w:t>中壤土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5" w:type="dxa"/>
            <w:gridSpan w:val="2"/>
            <w:tcBorders>
              <w:top w:val="single" w:color="auto" w:sz="8" w:space="0"/>
            </w:tcBorders>
            <w:shd w:val="clear" w:color="auto" w:fill="auto"/>
            <w:vAlign w:val="center"/>
          </w:tcPr>
          <w:p>
            <w:pPr>
              <w:pStyle w:val="178"/>
            </w:pPr>
            <w:r>
              <w:rPr>
                <w:rFonts w:hint="eastAsia"/>
              </w:rPr>
              <w:t>灌水要素</w:t>
            </w:r>
          </w:p>
        </w:tc>
        <w:tc>
          <w:tcPr>
            <w:tcW w:w="873" w:type="dxa"/>
            <w:tcBorders>
              <w:top w:val="single" w:color="auto" w:sz="8" w:space="0"/>
            </w:tcBorders>
            <w:shd w:val="clear" w:color="auto" w:fill="auto"/>
            <w:vAlign w:val="center"/>
          </w:tcPr>
          <w:p>
            <w:pPr>
              <w:pStyle w:val="178"/>
            </w:pPr>
            <w:r>
              <w:rPr>
                <w:rFonts w:hint="eastAsia"/>
              </w:rPr>
              <w:t>畦长</w:t>
            </w:r>
          </w:p>
          <w:p>
            <w:pPr>
              <w:pStyle w:val="178"/>
            </w:pPr>
            <w:r>
              <w:t>m</w:t>
            </w:r>
          </w:p>
        </w:tc>
        <w:tc>
          <w:tcPr>
            <w:tcW w:w="888" w:type="dxa"/>
            <w:tcBorders>
              <w:top w:val="single" w:color="auto" w:sz="8" w:space="0"/>
            </w:tcBorders>
            <w:shd w:val="clear" w:color="auto" w:fill="auto"/>
            <w:vAlign w:val="center"/>
          </w:tcPr>
          <w:p>
            <w:pPr>
              <w:pStyle w:val="178"/>
            </w:pPr>
            <w:r>
              <w:rPr>
                <w:rFonts w:hint="eastAsia"/>
              </w:rPr>
              <w:t>单宽</w:t>
            </w:r>
          </w:p>
          <w:p>
            <w:pPr>
              <w:pStyle w:val="178"/>
            </w:pPr>
            <w:r>
              <w:rPr>
                <w:rFonts w:hint="eastAsia"/>
              </w:rPr>
              <w:t>流量</w:t>
            </w:r>
          </w:p>
          <w:p>
            <w:pPr>
              <w:pStyle w:val="178"/>
            </w:pPr>
            <w:r>
              <w:t>L·s</w:t>
            </w:r>
            <w:r>
              <w:rPr>
                <w:vertAlign w:val="superscript"/>
              </w:rPr>
              <w:t>-1</w:t>
            </w:r>
            <w:r>
              <w:t>·m</w:t>
            </w:r>
          </w:p>
        </w:tc>
        <w:tc>
          <w:tcPr>
            <w:tcW w:w="842" w:type="dxa"/>
            <w:tcBorders>
              <w:top w:val="single" w:color="auto" w:sz="8" w:space="0"/>
            </w:tcBorders>
            <w:shd w:val="clear" w:color="auto" w:fill="auto"/>
            <w:vAlign w:val="center"/>
          </w:tcPr>
          <w:p>
            <w:pPr>
              <w:pStyle w:val="178"/>
            </w:pPr>
            <w:r>
              <w:rPr>
                <w:rFonts w:hint="eastAsia"/>
              </w:rPr>
              <w:t>改口</w:t>
            </w:r>
          </w:p>
          <w:p>
            <w:pPr>
              <w:pStyle w:val="178"/>
            </w:pPr>
            <w:r>
              <w:rPr>
                <w:rFonts w:hint="eastAsia"/>
              </w:rPr>
              <w:t>成数</w:t>
            </w:r>
          </w:p>
        </w:tc>
        <w:tc>
          <w:tcPr>
            <w:tcW w:w="821" w:type="dxa"/>
            <w:tcBorders>
              <w:top w:val="single" w:color="auto" w:sz="8" w:space="0"/>
            </w:tcBorders>
            <w:shd w:val="clear" w:color="auto" w:fill="auto"/>
          </w:tcPr>
          <w:p>
            <w:pPr>
              <w:pStyle w:val="178"/>
            </w:pPr>
          </w:p>
          <w:p>
            <w:pPr>
              <w:pStyle w:val="178"/>
            </w:pPr>
            <w:r>
              <w:rPr>
                <w:rFonts w:hint="eastAsia"/>
              </w:rPr>
              <w:t>畦长</w:t>
            </w:r>
          </w:p>
          <w:p>
            <w:pPr>
              <w:pStyle w:val="178"/>
            </w:pPr>
            <w:r>
              <w:t>m</w:t>
            </w:r>
          </w:p>
        </w:tc>
        <w:tc>
          <w:tcPr>
            <w:tcW w:w="821" w:type="dxa"/>
            <w:tcBorders>
              <w:top w:val="single" w:color="auto" w:sz="8" w:space="0"/>
            </w:tcBorders>
            <w:shd w:val="clear" w:color="auto" w:fill="auto"/>
            <w:vAlign w:val="center"/>
          </w:tcPr>
          <w:p>
            <w:pPr>
              <w:pStyle w:val="178"/>
            </w:pPr>
            <w:r>
              <w:rPr>
                <w:rFonts w:hint="eastAsia"/>
              </w:rPr>
              <w:t>单宽</w:t>
            </w:r>
          </w:p>
          <w:p>
            <w:pPr>
              <w:pStyle w:val="178"/>
            </w:pPr>
            <w:r>
              <w:rPr>
                <w:rFonts w:hint="eastAsia"/>
              </w:rPr>
              <w:t>流量</w:t>
            </w:r>
          </w:p>
          <w:p>
            <w:pPr>
              <w:pStyle w:val="178"/>
            </w:pPr>
            <w:r>
              <w:t>L·s</w:t>
            </w:r>
            <w:r>
              <w:rPr>
                <w:vertAlign w:val="superscript"/>
              </w:rPr>
              <w:t>-1</w:t>
            </w:r>
            <w:r>
              <w:t>·m</w:t>
            </w:r>
          </w:p>
        </w:tc>
        <w:tc>
          <w:tcPr>
            <w:tcW w:w="821" w:type="dxa"/>
            <w:tcBorders>
              <w:top w:val="single" w:color="auto" w:sz="8" w:space="0"/>
            </w:tcBorders>
            <w:shd w:val="clear" w:color="auto" w:fill="auto"/>
            <w:vAlign w:val="center"/>
          </w:tcPr>
          <w:p>
            <w:pPr>
              <w:pStyle w:val="178"/>
            </w:pPr>
            <w:r>
              <w:rPr>
                <w:rFonts w:hint="eastAsia"/>
              </w:rPr>
              <w:t>改口</w:t>
            </w:r>
          </w:p>
          <w:p>
            <w:pPr>
              <w:pStyle w:val="178"/>
            </w:pPr>
            <w:r>
              <w:rPr>
                <w:rFonts w:hint="eastAsia"/>
              </w:rPr>
              <w:t>成数</w:t>
            </w:r>
          </w:p>
        </w:tc>
        <w:tc>
          <w:tcPr>
            <w:tcW w:w="821" w:type="dxa"/>
            <w:tcBorders>
              <w:top w:val="single" w:color="auto" w:sz="8" w:space="0"/>
            </w:tcBorders>
            <w:shd w:val="clear" w:color="auto" w:fill="auto"/>
            <w:vAlign w:val="center"/>
          </w:tcPr>
          <w:p>
            <w:pPr>
              <w:pStyle w:val="178"/>
            </w:pPr>
            <w:r>
              <w:rPr>
                <w:rFonts w:hint="eastAsia"/>
              </w:rPr>
              <w:t>畦长</w:t>
            </w:r>
          </w:p>
          <w:p>
            <w:pPr>
              <w:pStyle w:val="178"/>
            </w:pPr>
            <w:r>
              <w:t>m</w:t>
            </w:r>
          </w:p>
        </w:tc>
        <w:tc>
          <w:tcPr>
            <w:tcW w:w="821" w:type="dxa"/>
            <w:tcBorders>
              <w:top w:val="single" w:color="auto" w:sz="8" w:space="0"/>
            </w:tcBorders>
            <w:shd w:val="clear" w:color="auto" w:fill="auto"/>
            <w:vAlign w:val="center"/>
          </w:tcPr>
          <w:p>
            <w:pPr>
              <w:pStyle w:val="178"/>
            </w:pPr>
            <w:r>
              <w:rPr>
                <w:rFonts w:hint="eastAsia"/>
              </w:rPr>
              <w:t>单宽</w:t>
            </w:r>
          </w:p>
          <w:p>
            <w:pPr>
              <w:pStyle w:val="178"/>
            </w:pPr>
            <w:r>
              <w:rPr>
                <w:rFonts w:hint="eastAsia"/>
              </w:rPr>
              <w:t>流量</w:t>
            </w:r>
          </w:p>
          <w:p>
            <w:pPr>
              <w:pStyle w:val="178"/>
            </w:pPr>
            <w:r>
              <w:t>L·s</w:t>
            </w:r>
            <w:r>
              <w:rPr>
                <w:vertAlign w:val="superscript"/>
              </w:rPr>
              <w:t>-1</w:t>
            </w:r>
            <w:r>
              <w:t>·m</w:t>
            </w:r>
          </w:p>
        </w:tc>
        <w:tc>
          <w:tcPr>
            <w:tcW w:w="821" w:type="dxa"/>
            <w:tcBorders>
              <w:top w:val="single" w:color="auto" w:sz="8" w:space="0"/>
            </w:tcBorders>
            <w:shd w:val="clear" w:color="auto" w:fill="auto"/>
            <w:vAlign w:val="center"/>
          </w:tcPr>
          <w:p>
            <w:pPr>
              <w:pStyle w:val="178"/>
            </w:pPr>
            <w:r>
              <w:rPr>
                <w:rFonts w:hint="eastAsia"/>
              </w:rPr>
              <w:t>改口</w:t>
            </w:r>
          </w:p>
          <w:p>
            <w:pPr>
              <w:pStyle w:val="178"/>
            </w:pPr>
            <w:r>
              <w:rPr>
                <w:rFonts w:hint="eastAsia"/>
              </w:rPr>
              <w:t>成数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9" w:type="dxa"/>
            <w:vMerge w:val="restart"/>
            <w:shd w:val="clear" w:color="auto" w:fill="auto"/>
            <w:vAlign w:val="center"/>
          </w:tcPr>
          <w:p>
            <w:pPr>
              <w:pStyle w:val="178"/>
            </w:pPr>
            <w:r>
              <w:rPr>
                <w:rFonts w:hint="eastAsia"/>
              </w:rPr>
              <w:t>畦田</w:t>
            </w:r>
          </w:p>
          <w:p>
            <w:pPr>
              <w:pStyle w:val="178"/>
            </w:pPr>
            <w:r>
              <w:rPr>
                <w:rFonts w:hint="eastAsia"/>
              </w:rPr>
              <w:t>纵坡</w:t>
            </w:r>
          </w:p>
        </w:tc>
        <w:tc>
          <w:tcPr>
            <w:tcW w:w="1126" w:type="dxa"/>
            <w:shd w:val="clear" w:color="auto" w:fill="auto"/>
            <w:vAlign w:val="center"/>
          </w:tcPr>
          <w:p>
            <w:pPr>
              <w:pStyle w:val="178"/>
            </w:pPr>
            <w:r>
              <w:rPr>
                <w:rFonts w:hint="eastAsia"/>
              </w:rPr>
              <w:t>≤1/500</w:t>
            </w:r>
          </w:p>
        </w:tc>
        <w:tc>
          <w:tcPr>
            <w:tcW w:w="873" w:type="dxa"/>
            <w:shd w:val="clear" w:color="auto" w:fill="auto"/>
            <w:vAlign w:val="center"/>
          </w:tcPr>
          <w:p>
            <w:pPr>
              <w:pStyle w:val="178"/>
            </w:pPr>
            <w:r>
              <w:t>15</w:t>
            </w:r>
            <w:r>
              <w:rPr>
                <w:rFonts w:hint="eastAsia" w:hAnsi="宋体"/>
              </w:rPr>
              <w:t>～</w:t>
            </w:r>
            <w:r>
              <w:t>25</w:t>
            </w:r>
          </w:p>
        </w:tc>
        <w:tc>
          <w:tcPr>
            <w:tcW w:w="888" w:type="dxa"/>
            <w:shd w:val="clear" w:color="auto" w:fill="auto"/>
            <w:vAlign w:val="center"/>
          </w:tcPr>
          <w:p>
            <w:pPr>
              <w:pStyle w:val="178"/>
            </w:pPr>
            <w:r>
              <w:t>3</w:t>
            </w:r>
            <w:r>
              <w:rPr>
                <w:rFonts w:hint="eastAsia" w:hAnsi="宋体"/>
              </w:rPr>
              <w:t>～</w:t>
            </w:r>
            <w:r>
              <w:t>3.5</w:t>
            </w:r>
          </w:p>
        </w:tc>
        <w:tc>
          <w:tcPr>
            <w:tcW w:w="842" w:type="dxa"/>
            <w:shd w:val="clear" w:color="auto" w:fill="auto"/>
            <w:vAlign w:val="center"/>
          </w:tcPr>
          <w:p>
            <w:pPr>
              <w:pStyle w:val="178"/>
            </w:pPr>
            <w:r>
              <w:t>7</w:t>
            </w:r>
            <w:r>
              <w:rPr>
                <w:rFonts w:hint="eastAsia" w:hAnsi="宋体"/>
              </w:rPr>
              <w:t>～</w:t>
            </w:r>
            <w:r>
              <w:t>8</w:t>
            </w:r>
          </w:p>
        </w:tc>
        <w:tc>
          <w:tcPr>
            <w:tcW w:w="821" w:type="dxa"/>
            <w:shd w:val="clear" w:color="auto" w:fill="auto"/>
          </w:tcPr>
          <w:p>
            <w:pPr>
              <w:pStyle w:val="178"/>
            </w:pPr>
            <w:r>
              <w:t>20</w:t>
            </w:r>
            <w:r>
              <w:rPr>
                <w:rFonts w:hint="eastAsia" w:hAnsi="宋体"/>
              </w:rPr>
              <w:t>～</w:t>
            </w:r>
            <w:r>
              <w:t>35</w:t>
            </w:r>
          </w:p>
        </w:tc>
        <w:tc>
          <w:tcPr>
            <w:tcW w:w="821" w:type="dxa"/>
            <w:shd w:val="clear" w:color="auto" w:fill="auto"/>
            <w:vAlign w:val="center"/>
          </w:tcPr>
          <w:p>
            <w:pPr>
              <w:pStyle w:val="178"/>
            </w:pPr>
            <w:r>
              <w:t>2.5</w:t>
            </w:r>
            <w:r>
              <w:rPr>
                <w:rFonts w:hint="eastAsia" w:hAnsi="宋体"/>
              </w:rPr>
              <w:t>～</w:t>
            </w:r>
            <w:r>
              <w:t>3</w:t>
            </w:r>
          </w:p>
        </w:tc>
        <w:tc>
          <w:tcPr>
            <w:tcW w:w="821" w:type="dxa"/>
            <w:shd w:val="clear" w:color="auto" w:fill="auto"/>
            <w:vAlign w:val="center"/>
          </w:tcPr>
          <w:p>
            <w:pPr>
              <w:pStyle w:val="178"/>
            </w:pPr>
            <w:r>
              <w:t>8</w:t>
            </w:r>
            <w:r>
              <w:rPr>
                <w:rFonts w:hint="eastAsia" w:hAnsi="宋体"/>
              </w:rPr>
              <w:t>～</w:t>
            </w:r>
            <w:r>
              <w:t>9</w:t>
            </w:r>
          </w:p>
        </w:tc>
        <w:tc>
          <w:tcPr>
            <w:tcW w:w="821" w:type="dxa"/>
            <w:shd w:val="clear" w:color="auto" w:fill="auto"/>
            <w:vAlign w:val="center"/>
          </w:tcPr>
          <w:p>
            <w:pPr>
              <w:pStyle w:val="178"/>
            </w:pPr>
            <w:r>
              <w:t>25</w:t>
            </w:r>
            <w:r>
              <w:rPr>
                <w:rFonts w:hint="eastAsia" w:hAnsi="宋体"/>
              </w:rPr>
              <w:t>～</w:t>
            </w:r>
            <w:r>
              <w:t>40</w:t>
            </w:r>
          </w:p>
        </w:tc>
        <w:tc>
          <w:tcPr>
            <w:tcW w:w="821" w:type="dxa"/>
            <w:shd w:val="clear" w:color="auto" w:fill="auto"/>
            <w:vAlign w:val="center"/>
          </w:tcPr>
          <w:p>
            <w:pPr>
              <w:pStyle w:val="178"/>
            </w:pPr>
            <w:r>
              <w:t>2.5</w:t>
            </w:r>
            <w:r>
              <w:rPr>
                <w:rFonts w:hint="eastAsia" w:hAnsi="宋体"/>
              </w:rPr>
              <w:t>～</w:t>
            </w:r>
            <w:r>
              <w:t>3</w:t>
            </w:r>
          </w:p>
        </w:tc>
        <w:tc>
          <w:tcPr>
            <w:tcW w:w="821" w:type="dxa"/>
            <w:shd w:val="clear" w:color="auto" w:fill="auto"/>
            <w:vAlign w:val="center"/>
          </w:tcPr>
          <w:p>
            <w:pPr>
              <w:pStyle w:val="178"/>
            </w:pPr>
            <w:r>
              <w:t>9</w:t>
            </w:r>
            <w:r>
              <w:rPr>
                <w:rFonts w:hint="eastAsia" w:hAnsi="宋体"/>
              </w:rPr>
              <w:t>～</w:t>
            </w:r>
            <w: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9" w:type="dxa"/>
            <w:vMerge w:val="continue"/>
            <w:shd w:val="clear" w:color="auto" w:fill="auto"/>
            <w:vAlign w:val="center"/>
          </w:tcPr>
          <w:p>
            <w:pPr>
              <w:pStyle w:val="178"/>
            </w:pPr>
          </w:p>
        </w:tc>
        <w:tc>
          <w:tcPr>
            <w:tcW w:w="1126" w:type="dxa"/>
            <w:shd w:val="clear" w:color="auto" w:fill="auto"/>
            <w:vAlign w:val="center"/>
          </w:tcPr>
          <w:p>
            <w:pPr>
              <w:pStyle w:val="178"/>
            </w:pPr>
            <w:r>
              <w:t>1/500</w:t>
            </w:r>
            <w:r>
              <w:rPr>
                <w:rFonts w:hint="eastAsia" w:hAnsi="宋体"/>
              </w:rPr>
              <w:t>～</w:t>
            </w:r>
            <w:r>
              <w:t>1/200</w:t>
            </w:r>
          </w:p>
        </w:tc>
        <w:tc>
          <w:tcPr>
            <w:tcW w:w="873" w:type="dxa"/>
            <w:shd w:val="clear" w:color="auto" w:fill="auto"/>
            <w:vAlign w:val="center"/>
          </w:tcPr>
          <w:p>
            <w:pPr>
              <w:pStyle w:val="178"/>
            </w:pPr>
            <w:r>
              <w:t>20</w:t>
            </w:r>
            <w:r>
              <w:rPr>
                <w:rFonts w:hint="eastAsia" w:hAnsi="宋体"/>
              </w:rPr>
              <w:t>～</w:t>
            </w:r>
            <w:r>
              <w:t>35</w:t>
            </w:r>
          </w:p>
        </w:tc>
        <w:tc>
          <w:tcPr>
            <w:tcW w:w="888" w:type="dxa"/>
            <w:shd w:val="clear" w:color="auto" w:fill="auto"/>
            <w:vAlign w:val="center"/>
          </w:tcPr>
          <w:p>
            <w:pPr>
              <w:pStyle w:val="178"/>
            </w:pPr>
            <w:r>
              <w:t>2.5</w:t>
            </w:r>
            <w:r>
              <w:rPr>
                <w:rFonts w:hint="eastAsia" w:hAnsi="宋体"/>
              </w:rPr>
              <w:t>～</w:t>
            </w:r>
            <w:r>
              <w:t>3</w:t>
            </w:r>
          </w:p>
        </w:tc>
        <w:tc>
          <w:tcPr>
            <w:tcW w:w="842" w:type="dxa"/>
            <w:shd w:val="clear" w:color="auto" w:fill="auto"/>
            <w:vAlign w:val="center"/>
          </w:tcPr>
          <w:p>
            <w:pPr>
              <w:pStyle w:val="178"/>
            </w:pPr>
            <w:r>
              <w:rPr>
                <w:rFonts w:hint="eastAsia"/>
              </w:rPr>
              <w:t>7～8</w:t>
            </w:r>
          </w:p>
        </w:tc>
        <w:tc>
          <w:tcPr>
            <w:tcW w:w="821" w:type="dxa"/>
            <w:shd w:val="clear" w:color="auto" w:fill="auto"/>
          </w:tcPr>
          <w:p>
            <w:pPr>
              <w:pStyle w:val="178"/>
            </w:pPr>
            <w:r>
              <w:t>25</w:t>
            </w:r>
            <w:r>
              <w:rPr>
                <w:rFonts w:hint="eastAsia" w:hAnsi="宋体"/>
              </w:rPr>
              <w:t>～</w:t>
            </w:r>
            <w:r>
              <w:t>40</w:t>
            </w:r>
          </w:p>
        </w:tc>
        <w:tc>
          <w:tcPr>
            <w:tcW w:w="821" w:type="dxa"/>
            <w:shd w:val="clear" w:color="auto" w:fill="auto"/>
            <w:vAlign w:val="center"/>
          </w:tcPr>
          <w:p>
            <w:pPr>
              <w:pStyle w:val="178"/>
            </w:pPr>
            <w:r>
              <w:rPr>
                <w:rFonts w:hint="eastAsia"/>
              </w:rPr>
              <w:t>2.5～3</w:t>
            </w:r>
          </w:p>
        </w:tc>
        <w:tc>
          <w:tcPr>
            <w:tcW w:w="821" w:type="dxa"/>
            <w:shd w:val="clear" w:color="auto" w:fill="auto"/>
            <w:vAlign w:val="center"/>
          </w:tcPr>
          <w:p>
            <w:pPr>
              <w:pStyle w:val="178"/>
            </w:pPr>
            <w:r>
              <w:rPr>
                <w:rFonts w:hint="eastAsia"/>
              </w:rPr>
              <w:t>8～9</w:t>
            </w:r>
          </w:p>
        </w:tc>
        <w:tc>
          <w:tcPr>
            <w:tcW w:w="821" w:type="dxa"/>
            <w:shd w:val="clear" w:color="auto" w:fill="auto"/>
            <w:vAlign w:val="center"/>
          </w:tcPr>
          <w:p>
            <w:pPr>
              <w:pStyle w:val="178"/>
            </w:pPr>
            <w:r>
              <w:t>30</w:t>
            </w:r>
            <w:r>
              <w:rPr>
                <w:rFonts w:hint="eastAsia" w:hAnsi="宋体"/>
              </w:rPr>
              <w:t>～</w:t>
            </w:r>
            <w:r>
              <w:t>45</w:t>
            </w:r>
          </w:p>
        </w:tc>
        <w:tc>
          <w:tcPr>
            <w:tcW w:w="821" w:type="dxa"/>
            <w:shd w:val="clear" w:color="auto" w:fill="auto"/>
            <w:vAlign w:val="center"/>
          </w:tcPr>
          <w:p>
            <w:pPr>
              <w:pStyle w:val="178"/>
            </w:pPr>
            <w:r>
              <w:t>2</w:t>
            </w:r>
            <w:r>
              <w:rPr>
                <w:rFonts w:hint="eastAsia" w:hAnsi="宋体"/>
              </w:rPr>
              <w:t>～</w:t>
            </w:r>
            <w:r>
              <w:t>2.5</w:t>
            </w:r>
          </w:p>
        </w:tc>
        <w:tc>
          <w:tcPr>
            <w:tcW w:w="821" w:type="dxa"/>
            <w:shd w:val="clear" w:color="auto" w:fill="auto"/>
            <w:vAlign w:val="center"/>
          </w:tcPr>
          <w:p>
            <w:pPr>
              <w:pStyle w:val="178"/>
            </w:pPr>
            <w:r>
              <w:rPr>
                <w:rFonts w:hint="eastAsia"/>
              </w:rPr>
              <w:t>9～10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9" w:type="dxa"/>
            <w:vMerge w:val="continue"/>
            <w:tcBorders>
              <w:bottom w:val="single" w:color="auto" w:sz="8" w:space="0"/>
            </w:tcBorders>
            <w:shd w:val="clear" w:color="auto" w:fill="auto"/>
            <w:vAlign w:val="center"/>
          </w:tcPr>
          <w:p>
            <w:pPr>
              <w:pStyle w:val="178"/>
            </w:pPr>
          </w:p>
        </w:tc>
        <w:tc>
          <w:tcPr>
            <w:tcW w:w="1126" w:type="dxa"/>
            <w:tcBorders>
              <w:bottom w:val="single" w:color="auto" w:sz="8" w:space="0"/>
            </w:tcBorders>
            <w:shd w:val="clear" w:color="auto" w:fill="auto"/>
            <w:vAlign w:val="center"/>
          </w:tcPr>
          <w:p>
            <w:pPr>
              <w:pStyle w:val="178"/>
            </w:pPr>
            <w:r>
              <w:t>1/200</w:t>
            </w:r>
            <w:r>
              <w:rPr>
                <w:rFonts w:hint="eastAsia" w:hAnsi="宋体"/>
              </w:rPr>
              <w:t>～</w:t>
            </w:r>
            <w:r>
              <w:t>1/100</w:t>
            </w:r>
          </w:p>
        </w:tc>
        <w:tc>
          <w:tcPr>
            <w:tcW w:w="873" w:type="dxa"/>
            <w:tcBorders>
              <w:bottom w:val="single" w:color="auto" w:sz="8" w:space="0"/>
            </w:tcBorders>
            <w:shd w:val="clear" w:color="auto" w:fill="auto"/>
            <w:vAlign w:val="center"/>
          </w:tcPr>
          <w:p>
            <w:pPr>
              <w:pStyle w:val="178"/>
            </w:pPr>
            <w:r>
              <w:t>25</w:t>
            </w:r>
            <w:r>
              <w:rPr>
                <w:rFonts w:hint="eastAsia" w:hAnsi="宋体"/>
              </w:rPr>
              <w:t>～</w:t>
            </w:r>
            <w:r>
              <w:t>40</w:t>
            </w:r>
          </w:p>
        </w:tc>
        <w:tc>
          <w:tcPr>
            <w:tcW w:w="888" w:type="dxa"/>
            <w:tcBorders>
              <w:bottom w:val="single" w:color="auto" w:sz="8" w:space="0"/>
            </w:tcBorders>
            <w:shd w:val="clear" w:color="auto" w:fill="auto"/>
            <w:vAlign w:val="center"/>
          </w:tcPr>
          <w:p>
            <w:pPr>
              <w:pStyle w:val="178"/>
            </w:pPr>
            <w:r>
              <w:t>2.5</w:t>
            </w:r>
            <w:r>
              <w:rPr>
                <w:rFonts w:hint="eastAsia" w:hAnsi="宋体"/>
              </w:rPr>
              <w:t>～</w:t>
            </w:r>
            <w:r>
              <w:t>3</w:t>
            </w:r>
          </w:p>
        </w:tc>
        <w:tc>
          <w:tcPr>
            <w:tcW w:w="842" w:type="dxa"/>
            <w:tcBorders>
              <w:bottom w:val="single" w:color="auto" w:sz="8" w:space="0"/>
            </w:tcBorders>
            <w:shd w:val="clear" w:color="auto" w:fill="auto"/>
            <w:vAlign w:val="center"/>
          </w:tcPr>
          <w:p>
            <w:pPr>
              <w:pStyle w:val="178"/>
            </w:pPr>
            <w:r>
              <w:rPr>
                <w:rFonts w:hint="eastAsia"/>
              </w:rPr>
              <w:t>7～8</w:t>
            </w:r>
          </w:p>
        </w:tc>
        <w:tc>
          <w:tcPr>
            <w:tcW w:w="821" w:type="dxa"/>
            <w:tcBorders>
              <w:bottom w:val="single" w:color="auto" w:sz="8" w:space="0"/>
            </w:tcBorders>
            <w:shd w:val="clear" w:color="auto" w:fill="auto"/>
          </w:tcPr>
          <w:p>
            <w:pPr>
              <w:pStyle w:val="178"/>
            </w:pPr>
            <w:r>
              <w:t>30</w:t>
            </w:r>
            <w:r>
              <w:rPr>
                <w:rFonts w:hint="eastAsia" w:hAnsi="宋体"/>
              </w:rPr>
              <w:t>～</w:t>
            </w:r>
            <w:r>
              <w:t>45</w:t>
            </w:r>
          </w:p>
        </w:tc>
        <w:tc>
          <w:tcPr>
            <w:tcW w:w="821" w:type="dxa"/>
            <w:tcBorders>
              <w:bottom w:val="single" w:color="auto" w:sz="8" w:space="0"/>
            </w:tcBorders>
            <w:shd w:val="clear" w:color="auto" w:fill="auto"/>
            <w:vAlign w:val="center"/>
          </w:tcPr>
          <w:p>
            <w:pPr>
              <w:pStyle w:val="178"/>
            </w:pPr>
            <w:r>
              <w:t>2</w:t>
            </w:r>
            <w:r>
              <w:rPr>
                <w:rFonts w:hint="eastAsia" w:hAnsi="宋体"/>
              </w:rPr>
              <w:t>～</w:t>
            </w:r>
            <w:r>
              <w:t>2.5</w:t>
            </w:r>
          </w:p>
        </w:tc>
        <w:tc>
          <w:tcPr>
            <w:tcW w:w="821" w:type="dxa"/>
            <w:tcBorders>
              <w:bottom w:val="single" w:color="auto" w:sz="8" w:space="0"/>
            </w:tcBorders>
            <w:shd w:val="clear" w:color="auto" w:fill="auto"/>
            <w:vAlign w:val="center"/>
          </w:tcPr>
          <w:p>
            <w:pPr>
              <w:pStyle w:val="178"/>
            </w:pPr>
            <w:r>
              <w:rPr>
                <w:rFonts w:hint="eastAsia"/>
              </w:rPr>
              <w:t>8～9</w:t>
            </w:r>
          </w:p>
        </w:tc>
        <w:tc>
          <w:tcPr>
            <w:tcW w:w="821" w:type="dxa"/>
            <w:tcBorders>
              <w:bottom w:val="single" w:color="auto" w:sz="8" w:space="0"/>
            </w:tcBorders>
            <w:shd w:val="clear" w:color="auto" w:fill="auto"/>
            <w:vAlign w:val="center"/>
          </w:tcPr>
          <w:p>
            <w:pPr>
              <w:pStyle w:val="178"/>
            </w:pPr>
            <w:r>
              <w:t>40</w:t>
            </w:r>
            <w:r>
              <w:rPr>
                <w:rFonts w:hint="eastAsia" w:hAnsi="宋体"/>
              </w:rPr>
              <w:t>～</w:t>
            </w:r>
            <w:r>
              <w:t>55</w:t>
            </w:r>
          </w:p>
        </w:tc>
        <w:tc>
          <w:tcPr>
            <w:tcW w:w="821" w:type="dxa"/>
            <w:tcBorders>
              <w:bottom w:val="single" w:color="auto" w:sz="8" w:space="0"/>
            </w:tcBorders>
            <w:shd w:val="clear" w:color="auto" w:fill="auto"/>
            <w:vAlign w:val="center"/>
          </w:tcPr>
          <w:p>
            <w:pPr>
              <w:pStyle w:val="178"/>
            </w:pPr>
            <w:r>
              <w:t>1.5</w:t>
            </w:r>
            <w:r>
              <w:rPr>
                <w:rFonts w:hint="eastAsia" w:hAnsi="宋体"/>
              </w:rPr>
              <w:t>～</w:t>
            </w:r>
            <w:r>
              <w:t>2</w:t>
            </w:r>
          </w:p>
        </w:tc>
        <w:tc>
          <w:tcPr>
            <w:tcW w:w="821" w:type="dxa"/>
            <w:tcBorders>
              <w:bottom w:val="single" w:color="auto" w:sz="8" w:space="0"/>
            </w:tcBorders>
            <w:shd w:val="clear" w:color="auto" w:fill="auto"/>
            <w:vAlign w:val="center"/>
          </w:tcPr>
          <w:p>
            <w:pPr>
              <w:pStyle w:val="178"/>
            </w:pPr>
            <w:r>
              <w:rPr>
                <w:rFonts w:hint="eastAsia"/>
              </w:rPr>
              <w:t>9～10</w:t>
            </w:r>
          </w:p>
        </w:tc>
      </w:tr>
    </w:tbl>
    <w:p>
      <w:pPr>
        <w:pStyle w:val="56"/>
        <w:ind w:firstLine="420"/>
      </w:pPr>
    </w:p>
    <w:p>
      <w:pPr>
        <w:pStyle w:val="78"/>
        <w:spacing w:before="156" w:after="156"/>
      </w:pPr>
      <w:bookmarkStart w:id="107" w:name="_Toc183181882"/>
      <w:bookmarkStart w:id="108" w:name="_Toc183183501"/>
      <w:r>
        <w:rPr>
          <w:rFonts w:hint="eastAsia"/>
        </w:rPr>
        <w:t>沟灌技术参数</w:t>
      </w:r>
      <w:bookmarkEnd w:id="107"/>
      <w:bookmarkEnd w:id="108"/>
    </w:p>
    <w:p>
      <w:pPr>
        <w:pStyle w:val="56"/>
        <w:ind w:firstLine="420"/>
      </w:pPr>
      <w:r>
        <w:rPr>
          <w:rFonts w:hint="eastAsia"/>
        </w:rPr>
        <w:t>沟灌技术参数见表A.2。</w:t>
      </w:r>
    </w:p>
    <w:p>
      <w:pPr>
        <w:pStyle w:val="77"/>
        <w:spacing w:before="156" w:after="156"/>
      </w:pPr>
      <w:r>
        <w:rPr>
          <w:rFonts w:hint="eastAsia"/>
        </w:rPr>
        <w:t>沟灌技术参数</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719"/>
        <w:gridCol w:w="1123"/>
        <w:gridCol w:w="846"/>
        <w:gridCol w:w="834"/>
        <w:gridCol w:w="834"/>
        <w:gridCol w:w="841"/>
        <w:gridCol w:w="834"/>
        <w:gridCol w:w="834"/>
        <w:gridCol w:w="841"/>
        <w:gridCol w:w="834"/>
        <w:gridCol w:w="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42" w:type="dxa"/>
            <w:gridSpan w:val="2"/>
            <w:tcBorders>
              <w:top w:val="single" w:color="auto" w:sz="8" w:space="0"/>
              <w:bottom w:val="single" w:color="auto" w:sz="8" w:space="0"/>
            </w:tcBorders>
            <w:shd w:val="clear" w:color="auto" w:fill="auto"/>
            <w:vAlign w:val="center"/>
          </w:tcPr>
          <w:p>
            <w:pPr>
              <w:pStyle w:val="178"/>
            </w:pPr>
            <w:r>
              <w:rPr>
                <w:rFonts w:hint="eastAsia"/>
              </w:rPr>
              <w:t>土壤种类</w:t>
            </w:r>
          </w:p>
        </w:tc>
        <w:tc>
          <w:tcPr>
            <w:tcW w:w="2514" w:type="dxa"/>
            <w:gridSpan w:val="3"/>
            <w:tcBorders>
              <w:top w:val="single" w:color="auto" w:sz="8" w:space="0"/>
              <w:bottom w:val="single" w:color="auto" w:sz="8" w:space="0"/>
            </w:tcBorders>
            <w:shd w:val="clear" w:color="auto" w:fill="auto"/>
            <w:vAlign w:val="center"/>
          </w:tcPr>
          <w:p>
            <w:pPr>
              <w:pStyle w:val="178"/>
            </w:pPr>
            <w:r>
              <w:rPr>
                <w:rFonts w:hint="eastAsia"/>
              </w:rPr>
              <w:t>砂壤土</w:t>
            </w:r>
          </w:p>
        </w:tc>
        <w:tc>
          <w:tcPr>
            <w:tcW w:w="2509" w:type="dxa"/>
            <w:gridSpan w:val="3"/>
            <w:tcBorders>
              <w:top w:val="single" w:color="auto" w:sz="8" w:space="0"/>
              <w:bottom w:val="single" w:color="auto" w:sz="8" w:space="0"/>
            </w:tcBorders>
            <w:shd w:val="clear" w:color="auto" w:fill="auto"/>
            <w:vAlign w:val="center"/>
          </w:tcPr>
          <w:p>
            <w:pPr>
              <w:pStyle w:val="178"/>
            </w:pPr>
            <w:r>
              <w:rPr>
                <w:rFonts w:hint="eastAsia"/>
              </w:rPr>
              <w:t>轻壤土</w:t>
            </w:r>
          </w:p>
        </w:tc>
        <w:tc>
          <w:tcPr>
            <w:tcW w:w="2509" w:type="dxa"/>
            <w:gridSpan w:val="3"/>
            <w:tcBorders>
              <w:top w:val="single" w:color="auto" w:sz="8" w:space="0"/>
              <w:bottom w:val="single" w:color="auto" w:sz="8" w:space="0"/>
            </w:tcBorders>
            <w:shd w:val="clear" w:color="auto" w:fill="auto"/>
            <w:vAlign w:val="center"/>
          </w:tcPr>
          <w:p>
            <w:pPr>
              <w:pStyle w:val="178"/>
            </w:pPr>
            <w:r>
              <w:rPr>
                <w:rFonts w:hint="eastAsia"/>
              </w:rPr>
              <w:t>中壤土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2" w:type="dxa"/>
            <w:gridSpan w:val="2"/>
            <w:tcBorders>
              <w:top w:val="single" w:color="auto" w:sz="8" w:space="0"/>
            </w:tcBorders>
            <w:shd w:val="clear" w:color="auto" w:fill="auto"/>
            <w:vAlign w:val="center"/>
          </w:tcPr>
          <w:p>
            <w:pPr>
              <w:pStyle w:val="178"/>
            </w:pPr>
            <w:r>
              <w:rPr>
                <w:rFonts w:hint="eastAsia"/>
              </w:rPr>
              <w:t>灌水要素</w:t>
            </w:r>
          </w:p>
        </w:tc>
        <w:tc>
          <w:tcPr>
            <w:tcW w:w="846" w:type="dxa"/>
            <w:tcBorders>
              <w:top w:val="single" w:color="auto" w:sz="8" w:space="0"/>
            </w:tcBorders>
            <w:shd w:val="clear" w:color="auto" w:fill="auto"/>
            <w:vAlign w:val="center"/>
          </w:tcPr>
          <w:p>
            <w:pPr>
              <w:pStyle w:val="178"/>
            </w:pPr>
            <w:r>
              <w:rPr>
                <w:rFonts w:hint="eastAsia"/>
              </w:rPr>
              <w:t>沟长</w:t>
            </w:r>
          </w:p>
          <w:p>
            <w:pPr>
              <w:pStyle w:val="178"/>
            </w:pPr>
            <w:r>
              <w:t>m</w:t>
            </w:r>
          </w:p>
        </w:tc>
        <w:tc>
          <w:tcPr>
            <w:tcW w:w="834" w:type="dxa"/>
            <w:tcBorders>
              <w:top w:val="single" w:color="auto" w:sz="8" w:space="0"/>
            </w:tcBorders>
            <w:shd w:val="clear" w:color="auto" w:fill="auto"/>
            <w:vAlign w:val="center"/>
          </w:tcPr>
          <w:p>
            <w:pPr>
              <w:pStyle w:val="178"/>
            </w:pPr>
            <w:r>
              <w:rPr>
                <w:rFonts w:hint="eastAsia"/>
              </w:rPr>
              <w:t>流量</w:t>
            </w:r>
          </w:p>
          <w:p>
            <w:pPr>
              <w:pStyle w:val="178"/>
            </w:pPr>
            <w:r>
              <w:t>L·s</w:t>
            </w:r>
            <w:r>
              <w:rPr>
                <w:vertAlign w:val="superscript"/>
              </w:rPr>
              <w:t>-1</w:t>
            </w:r>
          </w:p>
        </w:tc>
        <w:tc>
          <w:tcPr>
            <w:tcW w:w="834" w:type="dxa"/>
            <w:tcBorders>
              <w:top w:val="single" w:color="auto" w:sz="8" w:space="0"/>
            </w:tcBorders>
            <w:shd w:val="clear" w:color="auto" w:fill="auto"/>
            <w:vAlign w:val="center"/>
          </w:tcPr>
          <w:p>
            <w:pPr>
              <w:pStyle w:val="178"/>
            </w:pPr>
            <w:r>
              <w:rPr>
                <w:rFonts w:hint="eastAsia"/>
              </w:rPr>
              <w:t>改口成数</w:t>
            </w:r>
          </w:p>
        </w:tc>
        <w:tc>
          <w:tcPr>
            <w:tcW w:w="841" w:type="dxa"/>
            <w:tcBorders>
              <w:top w:val="single" w:color="auto" w:sz="8" w:space="0"/>
            </w:tcBorders>
            <w:shd w:val="clear" w:color="auto" w:fill="auto"/>
            <w:vAlign w:val="center"/>
          </w:tcPr>
          <w:p>
            <w:pPr>
              <w:pStyle w:val="178"/>
            </w:pPr>
            <w:r>
              <w:rPr>
                <w:rFonts w:hint="eastAsia"/>
              </w:rPr>
              <w:t>沟长</w:t>
            </w:r>
          </w:p>
          <w:p>
            <w:pPr>
              <w:pStyle w:val="178"/>
            </w:pPr>
            <w:r>
              <w:t>m</w:t>
            </w:r>
          </w:p>
        </w:tc>
        <w:tc>
          <w:tcPr>
            <w:tcW w:w="834" w:type="dxa"/>
            <w:tcBorders>
              <w:top w:val="single" w:color="auto" w:sz="8" w:space="0"/>
            </w:tcBorders>
            <w:shd w:val="clear" w:color="auto" w:fill="auto"/>
            <w:vAlign w:val="center"/>
          </w:tcPr>
          <w:p>
            <w:pPr>
              <w:pStyle w:val="178"/>
            </w:pPr>
            <w:r>
              <w:rPr>
                <w:rFonts w:hint="eastAsia"/>
              </w:rPr>
              <w:t>流量</w:t>
            </w:r>
          </w:p>
          <w:p>
            <w:pPr>
              <w:pStyle w:val="178"/>
            </w:pPr>
            <w:r>
              <w:t>L·s</w:t>
            </w:r>
            <w:r>
              <w:rPr>
                <w:vertAlign w:val="superscript"/>
              </w:rPr>
              <w:t>-1</w:t>
            </w:r>
          </w:p>
        </w:tc>
        <w:tc>
          <w:tcPr>
            <w:tcW w:w="834" w:type="dxa"/>
            <w:tcBorders>
              <w:top w:val="single" w:color="auto" w:sz="8" w:space="0"/>
            </w:tcBorders>
            <w:shd w:val="clear" w:color="auto" w:fill="auto"/>
            <w:vAlign w:val="center"/>
          </w:tcPr>
          <w:p>
            <w:pPr>
              <w:pStyle w:val="178"/>
            </w:pPr>
            <w:r>
              <w:rPr>
                <w:rFonts w:hint="eastAsia"/>
              </w:rPr>
              <w:t>改口成数</w:t>
            </w:r>
          </w:p>
        </w:tc>
        <w:tc>
          <w:tcPr>
            <w:tcW w:w="841" w:type="dxa"/>
            <w:tcBorders>
              <w:top w:val="single" w:color="auto" w:sz="8" w:space="0"/>
            </w:tcBorders>
            <w:shd w:val="clear" w:color="auto" w:fill="auto"/>
            <w:vAlign w:val="center"/>
          </w:tcPr>
          <w:p>
            <w:pPr>
              <w:pStyle w:val="178"/>
            </w:pPr>
            <w:r>
              <w:rPr>
                <w:rFonts w:hint="eastAsia"/>
              </w:rPr>
              <w:t>沟长</w:t>
            </w:r>
          </w:p>
          <w:p>
            <w:pPr>
              <w:pStyle w:val="178"/>
            </w:pPr>
            <w:r>
              <w:t>m</w:t>
            </w:r>
          </w:p>
        </w:tc>
        <w:tc>
          <w:tcPr>
            <w:tcW w:w="834" w:type="dxa"/>
            <w:tcBorders>
              <w:top w:val="single" w:color="auto" w:sz="8" w:space="0"/>
            </w:tcBorders>
            <w:shd w:val="clear" w:color="auto" w:fill="auto"/>
            <w:vAlign w:val="center"/>
          </w:tcPr>
          <w:p>
            <w:pPr>
              <w:pStyle w:val="178"/>
            </w:pPr>
            <w:r>
              <w:rPr>
                <w:rFonts w:hint="eastAsia"/>
              </w:rPr>
              <w:t>流量</w:t>
            </w:r>
          </w:p>
          <w:p>
            <w:pPr>
              <w:pStyle w:val="178"/>
            </w:pPr>
            <w:r>
              <w:t>L·s</w:t>
            </w:r>
            <w:r>
              <w:rPr>
                <w:vertAlign w:val="superscript"/>
              </w:rPr>
              <w:t>-1</w:t>
            </w:r>
          </w:p>
        </w:tc>
        <w:tc>
          <w:tcPr>
            <w:tcW w:w="834" w:type="dxa"/>
            <w:tcBorders>
              <w:top w:val="single" w:color="auto" w:sz="8" w:space="0"/>
            </w:tcBorders>
            <w:shd w:val="clear" w:color="auto" w:fill="auto"/>
            <w:vAlign w:val="center"/>
          </w:tcPr>
          <w:p>
            <w:pPr>
              <w:pStyle w:val="178"/>
            </w:pPr>
            <w:r>
              <w:rPr>
                <w:rFonts w:hint="eastAsia"/>
              </w:rPr>
              <w:t>改口成数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9" w:type="dxa"/>
            <w:vMerge w:val="restart"/>
            <w:shd w:val="clear" w:color="auto" w:fill="auto"/>
            <w:vAlign w:val="center"/>
          </w:tcPr>
          <w:p>
            <w:pPr>
              <w:pStyle w:val="178"/>
            </w:pPr>
            <w:r>
              <w:rPr>
                <w:rFonts w:hint="eastAsia"/>
              </w:rPr>
              <w:t>沟底</w:t>
            </w:r>
          </w:p>
          <w:p>
            <w:pPr>
              <w:pStyle w:val="178"/>
            </w:pPr>
            <w:r>
              <w:rPr>
                <w:rFonts w:hint="eastAsia"/>
              </w:rPr>
              <w:t>坡度</w:t>
            </w:r>
          </w:p>
        </w:tc>
        <w:tc>
          <w:tcPr>
            <w:tcW w:w="1123" w:type="dxa"/>
            <w:shd w:val="clear" w:color="auto" w:fill="auto"/>
            <w:vAlign w:val="center"/>
          </w:tcPr>
          <w:p>
            <w:pPr>
              <w:pStyle w:val="178"/>
            </w:pPr>
            <w:r>
              <w:rPr>
                <w:rFonts w:hint="eastAsia"/>
              </w:rPr>
              <w:t>≤1/500</w:t>
            </w:r>
          </w:p>
        </w:tc>
        <w:tc>
          <w:tcPr>
            <w:tcW w:w="846" w:type="dxa"/>
            <w:shd w:val="clear" w:color="auto" w:fill="auto"/>
            <w:vAlign w:val="center"/>
          </w:tcPr>
          <w:p>
            <w:pPr>
              <w:pStyle w:val="178"/>
            </w:pPr>
            <w:r>
              <w:t>30</w:t>
            </w:r>
            <w:r>
              <w:rPr>
                <w:rFonts w:hint="eastAsia" w:hAnsi="宋体"/>
              </w:rPr>
              <w:t>～</w:t>
            </w:r>
            <w:r>
              <w:t>40</w:t>
            </w:r>
          </w:p>
        </w:tc>
        <w:tc>
          <w:tcPr>
            <w:tcW w:w="834" w:type="dxa"/>
            <w:shd w:val="clear" w:color="auto" w:fill="auto"/>
            <w:vAlign w:val="center"/>
          </w:tcPr>
          <w:p>
            <w:pPr>
              <w:pStyle w:val="178"/>
            </w:pPr>
            <w:r>
              <w:t>1.0</w:t>
            </w:r>
            <w:r>
              <w:rPr>
                <w:rFonts w:hint="eastAsia" w:hAnsi="宋体"/>
              </w:rPr>
              <w:t>～</w:t>
            </w:r>
            <w:r>
              <w:t>1.2</w:t>
            </w:r>
          </w:p>
        </w:tc>
        <w:tc>
          <w:tcPr>
            <w:tcW w:w="834" w:type="dxa"/>
            <w:shd w:val="clear" w:color="auto" w:fill="auto"/>
            <w:vAlign w:val="center"/>
          </w:tcPr>
          <w:p>
            <w:pPr>
              <w:pStyle w:val="178"/>
            </w:pPr>
            <w:r>
              <w:t>7</w:t>
            </w:r>
            <w:r>
              <w:rPr>
                <w:rFonts w:hint="eastAsia" w:hAnsi="宋体"/>
              </w:rPr>
              <w:t>～</w:t>
            </w:r>
            <w:r>
              <w:t>8</w:t>
            </w:r>
          </w:p>
        </w:tc>
        <w:tc>
          <w:tcPr>
            <w:tcW w:w="841" w:type="dxa"/>
            <w:shd w:val="clear" w:color="auto" w:fill="auto"/>
            <w:vAlign w:val="center"/>
          </w:tcPr>
          <w:p>
            <w:pPr>
              <w:pStyle w:val="178"/>
            </w:pPr>
            <w:r>
              <w:t>40</w:t>
            </w:r>
            <w:r>
              <w:rPr>
                <w:rFonts w:hint="eastAsia" w:hAnsi="宋体"/>
              </w:rPr>
              <w:t>～</w:t>
            </w:r>
            <w:r>
              <w:t>50</w:t>
            </w:r>
          </w:p>
        </w:tc>
        <w:tc>
          <w:tcPr>
            <w:tcW w:w="834" w:type="dxa"/>
            <w:shd w:val="clear" w:color="auto" w:fill="auto"/>
            <w:vAlign w:val="center"/>
          </w:tcPr>
          <w:p>
            <w:pPr>
              <w:pStyle w:val="178"/>
            </w:pPr>
            <w:r>
              <w:t>2.5</w:t>
            </w:r>
            <w:r>
              <w:rPr>
                <w:rFonts w:hint="eastAsia" w:hAnsi="宋体"/>
              </w:rPr>
              <w:t>～</w:t>
            </w:r>
            <w:r>
              <w:t>3</w:t>
            </w:r>
          </w:p>
        </w:tc>
        <w:tc>
          <w:tcPr>
            <w:tcW w:w="834" w:type="dxa"/>
            <w:shd w:val="clear" w:color="auto" w:fill="auto"/>
            <w:vAlign w:val="center"/>
          </w:tcPr>
          <w:p>
            <w:pPr>
              <w:pStyle w:val="178"/>
            </w:pPr>
            <w:r>
              <w:t>0.7~1.0</w:t>
            </w:r>
          </w:p>
        </w:tc>
        <w:tc>
          <w:tcPr>
            <w:tcW w:w="841" w:type="dxa"/>
            <w:shd w:val="clear" w:color="auto" w:fill="auto"/>
            <w:vAlign w:val="center"/>
          </w:tcPr>
          <w:p>
            <w:pPr>
              <w:pStyle w:val="178"/>
            </w:pPr>
            <w:r>
              <w:t>50</w:t>
            </w:r>
            <w:r>
              <w:rPr>
                <w:rFonts w:hint="eastAsia" w:hAnsi="宋体"/>
              </w:rPr>
              <w:t>～</w:t>
            </w:r>
            <w:r>
              <w:t>60</w:t>
            </w:r>
          </w:p>
        </w:tc>
        <w:tc>
          <w:tcPr>
            <w:tcW w:w="834" w:type="dxa"/>
            <w:shd w:val="clear" w:color="auto" w:fill="auto"/>
            <w:vAlign w:val="center"/>
          </w:tcPr>
          <w:p>
            <w:pPr>
              <w:pStyle w:val="178"/>
            </w:pPr>
            <w:r>
              <w:t>0.5</w:t>
            </w:r>
            <w:r>
              <w:rPr>
                <w:rFonts w:hint="eastAsia" w:hAnsi="宋体"/>
              </w:rPr>
              <w:t>～</w:t>
            </w:r>
            <w:r>
              <w:t>0.6</w:t>
            </w:r>
          </w:p>
        </w:tc>
        <w:tc>
          <w:tcPr>
            <w:tcW w:w="834" w:type="dxa"/>
            <w:shd w:val="clear" w:color="auto" w:fill="auto"/>
            <w:vAlign w:val="center"/>
          </w:tcPr>
          <w:p>
            <w:pPr>
              <w:pStyle w:val="178"/>
            </w:pPr>
            <w:r>
              <w:t>9</w:t>
            </w:r>
            <w:r>
              <w:rPr>
                <w:rFonts w:hint="eastAsia" w:hAnsi="宋体"/>
              </w:rPr>
              <w:t>～</w:t>
            </w:r>
            <w: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9" w:type="dxa"/>
            <w:vMerge w:val="continue"/>
            <w:shd w:val="clear" w:color="auto" w:fill="auto"/>
            <w:vAlign w:val="center"/>
          </w:tcPr>
          <w:p>
            <w:pPr>
              <w:pStyle w:val="178"/>
            </w:pPr>
          </w:p>
        </w:tc>
        <w:tc>
          <w:tcPr>
            <w:tcW w:w="1123" w:type="dxa"/>
            <w:shd w:val="clear" w:color="auto" w:fill="auto"/>
            <w:vAlign w:val="center"/>
          </w:tcPr>
          <w:p>
            <w:pPr>
              <w:pStyle w:val="178"/>
            </w:pPr>
            <w:r>
              <w:t>1/500</w:t>
            </w:r>
            <w:r>
              <w:rPr>
                <w:rFonts w:hint="eastAsia" w:hAnsi="宋体"/>
              </w:rPr>
              <w:t>～</w:t>
            </w:r>
            <w:r>
              <w:t>1/200</w:t>
            </w:r>
          </w:p>
        </w:tc>
        <w:tc>
          <w:tcPr>
            <w:tcW w:w="846" w:type="dxa"/>
            <w:shd w:val="clear" w:color="auto" w:fill="auto"/>
            <w:vAlign w:val="center"/>
          </w:tcPr>
          <w:p>
            <w:pPr>
              <w:pStyle w:val="178"/>
            </w:pPr>
            <w:r>
              <w:t>40</w:t>
            </w:r>
            <w:r>
              <w:rPr>
                <w:rFonts w:hint="eastAsia" w:hAnsi="宋体"/>
              </w:rPr>
              <w:t>～</w:t>
            </w:r>
            <w:r>
              <w:t>50</w:t>
            </w:r>
          </w:p>
        </w:tc>
        <w:tc>
          <w:tcPr>
            <w:tcW w:w="834" w:type="dxa"/>
            <w:shd w:val="clear" w:color="auto" w:fill="auto"/>
            <w:vAlign w:val="center"/>
          </w:tcPr>
          <w:p>
            <w:pPr>
              <w:pStyle w:val="178"/>
            </w:pPr>
            <w:r>
              <w:t>0.7</w:t>
            </w:r>
            <w:r>
              <w:rPr>
                <w:rFonts w:hint="eastAsia" w:hAnsi="宋体"/>
              </w:rPr>
              <w:t>～</w:t>
            </w:r>
            <w:r>
              <w:t>1.0</w:t>
            </w:r>
          </w:p>
        </w:tc>
        <w:tc>
          <w:tcPr>
            <w:tcW w:w="834" w:type="dxa"/>
            <w:shd w:val="clear" w:color="auto" w:fill="auto"/>
            <w:vAlign w:val="center"/>
          </w:tcPr>
          <w:p>
            <w:pPr>
              <w:pStyle w:val="178"/>
            </w:pPr>
            <w:r>
              <w:t>7</w:t>
            </w:r>
            <w:r>
              <w:rPr>
                <w:rFonts w:hint="eastAsia" w:hAnsi="宋体"/>
              </w:rPr>
              <w:t>～</w:t>
            </w:r>
            <w:r>
              <w:t>8</w:t>
            </w:r>
          </w:p>
        </w:tc>
        <w:tc>
          <w:tcPr>
            <w:tcW w:w="841" w:type="dxa"/>
            <w:shd w:val="clear" w:color="auto" w:fill="auto"/>
            <w:vAlign w:val="center"/>
          </w:tcPr>
          <w:p>
            <w:pPr>
              <w:pStyle w:val="178"/>
            </w:pPr>
            <w:r>
              <w:t>50</w:t>
            </w:r>
            <w:r>
              <w:rPr>
                <w:rFonts w:hint="eastAsia" w:hAnsi="宋体"/>
              </w:rPr>
              <w:t>～</w:t>
            </w:r>
            <w:r>
              <w:t>60</w:t>
            </w:r>
          </w:p>
        </w:tc>
        <w:tc>
          <w:tcPr>
            <w:tcW w:w="834" w:type="dxa"/>
            <w:shd w:val="clear" w:color="auto" w:fill="auto"/>
            <w:vAlign w:val="center"/>
          </w:tcPr>
          <w:p>
            <w:pPr>
              <w:pStyle w:val="178"/>
            </w:pPr>
            <w:r>
              <w:t>2.5</w:t>
            </w:r>
            <w:r>
              <w:rPr>
                <w:rFonts w:hint="eastAsia" w:hAnsi="宋体"/>
              </w:rPr>
              <w:t>～</w:t>
            </w:r>
            <w:r>
              <w:t>3</w:t>
            </w:r>
          </w:p>
        </w:tc>
        <w:tc>
          <w:tcPr>
            <w:tcW w:w="834" w:type="dxa"/>
            <w:shd w:val="clear" w:color="auto" w:fill="auto"/>
            <w:vAlign w:val="center"/>
          </w:tcPr>
          <w:p>
            <w:pPr>
              <w:pStyle w:val="178"/>
            </w:pPr>
            <w:r>
              <w:t>0.5~0.6</w:t>
            </w:r>
          </w:p>
        </w:tc>
        <w:tc>
          <w:tcPr>
            <w:tcW w:w="841" w:type="dxa"/>
            <w:shd w:val="clear" w:color="auto" w:fill="auto"/>
            <w:vAlign w:val="center"/>
          </w:tcPr>
          <w:p>
            <w:pPr>
              <w:pStyle w:val="178"/>
            </w:pPr>
            <w:r>
              <w:t>60</w:t>
            </w:r>
            <w:r>
              <w:rPr>
                <w:rFonts w:hint="eastAsia" w:hAnsi="宋体"/>
              </w:rPr>
              <w:t>～</w:t>
            </w:r>
            <w:r>
              <w:t>70</w:t>
            </w:r>
          </w:p>
        </w:tc>
        <w:tc>
          <w:tcPr>
            <w:tcW w:w="834" w:type="dxa"/>
            <w:shd w:val="clear" w:color="auto" w:fill="auto"/>
            <w:vAlign w:val="center"/>
          </w:tcPr>
          <w:p>
            <w:pPr>
              <w:pStyle w:val="178"/>
            </w:pPr>
            <w:r>
              <w:t>0.4</w:t>
            </w:r>
            <w:r>
              <w:rPr>
                <w:rFonts w:hint="eastAsia" w:hAnsi="宋体"/>
              </w:rPr>
              <w:t>～</w:t>
            </w:r>
            <w:r>
              <w:t>0.5</w:t>
            </w:r>
          </w:p>
        </w:tc>
        <w:tc>
          <w:tcPr>
            <w:tcW w:w="834" w:type="dxa"/>
            <w:shd w:val="clear" w:color="auto" w:fill="auto"/>
            <w:vAlign w:val="center"/>
          </w:tcPr>
          <w:p>
            <w:pPr>
              <w:pStyle w:val="178"/>
            </w:pPr>
            <w:r>
              <w:t>9</w:t>
            </w:r>
            <w:r>
              <w:rPr>
                <w:rFonts w:hint="eastAsia" w:hAnsi="宋体"/>
              </w:rPr>
              <w:t>～</w:t>
            </w:r>
            <w: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9" w:type="dxa"/>
            <w:vMerge w:val="continue"/>
            <w:shd w:val="clear" w:color="auto" w:fill="auto"/>
            <w:vAlign w:val="center"/>
          </w:tcPr>
          <w:p>
            <w:pPr>
              <w:pStyle w:val="178"/>
            </w:pPr>
          </w:p>
        </w:tc>
        <w:tc>
          <w:tcPr>
            <w:tcW w:w="1123" w:type="dxa"/>
            <w:shd w:val="clear" w:color="auto" w:fill="auto"/>
            <w:vAlign w:val="center"/>
          </w:tcPr>
          <w:p>
            <w:pPr>
              <w:pStyle w:val="178"/>
            </w:pPr>
            <w:r>
              <w:t>1/200</w:t>
            </w:r>
            <w:r>
              <w:rPr>
                <w:rFonts w:hint="eastAsia" w:hAnsi="宋体"/>
              </w:rPr>
              <w:t>～</w:t>
            </w:r>
            <w:r>
              <w:t>1/100</w:t>
            </w:r>
          </w:p>
        </w:tc>
        <w:tc>
          <w:tcPr>
            <w:tcW w:w="846" w:type="dxa"/>
            <w:shd w:val="clear" w:color="auto" w:fill="auto"/>
            <w:vAlign w:val="center"/>
          </w:tcPr>
          <w:p>
            <w:pPr>
              <w:pStyle w:val="178"/>
            </w:pPr>
            <w:r>
              <w:t>50</w:t>
            </w:r>
            <w:r>
              <w:rPr>
                <w:rFonts w:hint="eastAsia" w:hAnsi="宋体"/>
              </w:rPr>
              <w:t>～</w:t>
            </w:r>
            <w:r>
              <w:t>60</w:t>
            </w:r>
          </w:p>
        </w:tc>
        <w:tc>
          <w:tcPr>
            <w:tcW w:w="834" w:type="dxa"/>
            <w:shd w:val="clear" w:color="auto" w:fill="auto"/>
            <w:vAlign w:val="center"/>
          </w:tcPr>
          <w:p>
            <w:pPr>
              <w:pStyle w:val="178"/>
            </w:pPr>
            <w:r>
              <w:t>0.6</w:t>
            </w:r>
            <w:r>
              <w:rPr>
                <w:rFonts w:hint="eastAsia" w:hAnsi="宋体"/>
              </w:rPr>
              <w:t>～</w:t>
            </w:r>
            <w:r>
              <w:t>0.8</w:t>
            </w:r>
          </w:p>
        </w:tc>
        <w:tc>
          <w:tcPr>
            <w:tcW w:w="834" w:type="dxa"/>
            <w:shd w:val="clear" w:color="auto" w:fill="auto"/>
            <w:vAlign w:val="center"/>
          </w:tcPr>
          <w:p>
            <w:pPr>
              <w:pStyle w:val="178"/>
            </w:pPr>
            <w:r>
              <w:t>7</w:t>
            </w:r>
            <w:r>
              <w:rPr>
                <w:rFonts w:hint="eastAsia" w:hAnsi="宋体"/>
              </w:rPr>
              <w:t>～</w:t>
            </w:r>
            <w:r>
              <w:t>8</w:t>
            </w:r>
          </w:p>
        </w:tc>
        <w:tc>
          <w:tcPr>
            <w:tcW w:w="841" w:type="dxa"/>
            <w:shd w:val="clear" w:color="auto" w:fill="auto"/>
            <w:vAlign w:val="center"/>
          </w:tcPr>
          <w:p>
            <w:pPr>
              <w:pStyle w:val="178"/>
            </w:pPr>
            <w:r>
              <w:t>60</w:t>
            </w:r>
            <w:r>
              <w:rPr>
                <w:rFonts w:hint="eastAsia" w:hAnsi="宋体"/>
              </w:rPr>
              <w:t>～</w:t>
            </w:r>
            <w:r>
              <w:t>70</w:t>
            </w:r>
          </w:p>
        </w:tc>
        <w:tc>
          <w:tcPr>
            <w:tcW w:w="834" w:type="dxa"/>
            <w:shd w:val="clear" w:color="auto" w:fill="auto"/>
            <w:vAlign w:val="center"/>
          </w:tcPr>
          <w:p>
            <w:pPr>
              <w:pStyle w:val="178"/>
            </w:pPr>
            <w:r>
              <w:t>2</w:t>
            </w:r>
            <w:r>
              <w:rPr>
                <w:rFonts w:hint="eastAsia" w:hAnsi="宋体"/>
              </w:rPr>
              <w:t>～</w:t>
            </w:r>
            <w:r>
              <w:t>2.5</w:t>
            </w:r>
          </w:p>
        </w:tc>
        <w:tc>
          <w:tcPr>
            <w:tcW w:w="834" w:type="dxa"/>
            <w:shd w:val="clear" w:color="auto" w:fill="auto"/>
            <w:vAlign w:val="center"/>
          </w:tcPr>
          <w:p>
            <w:pPr>
              <w:pStyle w:val="178"/>
            </w:pPr>
            <w:r>
              <w:t>0.4~0.6</w:t>
            </w:r>
          </w:p>
        </w:tc>
        <w:tc>
          <w:tcPr>
            <w:tcW w:w="841" w:type="dxa"/>
            <w:shd w:val="clear" w:color="auto" w:fill="auto"/>
            <w:vAlign w:val="center"/>
          </w:tcPr>
          <w:p>
            <w:pPr>
              <w:pStyle w:val="178"/>
            </w:pPr>
            <w:r>
              <w:t>70</w:t>
            </w:r>
            <w:r>
              <w:rPr>
                <w:rFonts w:hint="eastAsia" w:hAnsi="宋体"/>
              </w:rPr>
              <w:t>～</w:t>
            </w:r>
            <w:r>
              <w:t>80</w:t>
            </w:r>
          </w:p>
        </w:tc>
        <w:tc>
          <w:tcPr>
            <w:tcW w:w="834" w:type="dxa"/>
            <w:shd w:val="clear" w:color="auto" w:fill="auto"/>
            <w:vAlign w:val="center"/>
          </w:tcPr>
          <w:p>
            <w:pPr>
              <w:pStyle w:val="178"/>
            </w:pPr>
            <w:r>
              <w:t>0.3</w:t>
            </w:r>
            <w:r>
              <w:rPr>
                <w:rFonts w:hint="eastAsia" w:hAnsi="宋体"/>
              </w:rPr>
              <w:t>～</w:t>
            </w:r>
            <w:r>
              <w:t>0.4</w:t>
            </w:r>
          </w:p>
        </w:tc>
        <w:tc>
          <w:tcPr>
            <w:tcW w:w="834" w:type="dxa"/>
            <w:shd w:val="clear" w:color="auto" w:fill="auto"/>
            <w:vAlign w:val="center"/>
          </w:tcPr>
          <w:p>
            <w:pPr>
              <w:pStyle w:val="178"/>
            </w:pPr>
            <w:r>
              <w:t>9</w:t>
            </w:r>
            <w:r>
              <w:rPr>
                <w:rFonts w:hint="eastAsia" w:hAnsi="宋体"/>
              </w:rPr>
              <w:t>～</w:t>
            </w:r>
            <w:r>
              <w:t>10</w:t>
            </w:r>
          </w:p>
        </w:tc>
      </w:tr>
    </w:tbl>
    <w:p>
      <w:pPr>
        <w:pStyle w:val="56"/>
        <w:ind w:firstLine="420"/>
      </w:pPr>
    </w:p>
    <w:p>
      <w:pPr>
        <w:pStyle w:val="56"/>
        <w:ind w:firstLine="420"/>
      </w:pPr>
    </w:p>
    <w:p>
      <w:pPr>
        <w:pStyle w:val="56"/>
        <w:ind w:firstLine="420"/>
      </w:pPr>
    </w:p>
    <w:p>
      <w:pPr>
        <w:pStyle w:val="56"/>
        <w:ind w:firstLine="420"/>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type="lines" w:linePitch="312" w:charSpace="0"/>
        </w:sectPr>
      </w:pPr>
    </w:p>
    <w:p>
      <w:pPr>
        <w:pStyle w:val="198"/>
        <w:rPr>
          <w:vanish w:val="0"/>
        </w:rPr>
      </w:pPr>
    </w:p>
    <w:p>
      <w:pPr>
        <w:pStyle w:val="199"/>
        <w:rPr>
          <w:vanish w:val="0"/>
        </w:rPr>
      </w:pPr>
    </w:p>
    <w:p>
      <w:pPr>
        <w:pStyle w:val="76"/>
        <w:spacing w:after="156"/>
      </w:pPr>
      <w:r>
        <w:br w:type="textWrapping"/>
      </w:r>
      <w:bookmarkStart w:id="109" w:name="_Toc183181883"/>
      <w:bookmarkStart w:id="110" w:name="_Toc183183502"/>
      <w:r>
        <w:rPr>
          <w:rFonts w:hint="eastAsia"/>
        </w:rPr>
        <w:t>（资料性）</w:t>
      </w:r>
      <w:r>
        <w:br w:type="textWrapping"/>
      </w:r>
      <w:r>
        <w:rPr>
          <w:rFonts w:hint="eastAsia"/>
        </w:rPr>
        <w:t>灌区节水现状和效益调查</w:t>
      </w:r>
      <w:bookmarkEnd w:id="109"/>
      <w:bookmarkEnd w:id="110"/>
    </w:p>
    <w:p>
      <w:pPr>
        <w:pStyle w:val="78"/>
        <w:spacing w:before="156" w:after="156"/>
      </w:pPr>
      <w:bookmarkStart w:id="111" w:name="_Toc183181884"/>
      <w:bookmarkStart w:id="112" w:name="_Toc183183503"/>
      <w:r>
        <w:rPr>
          <w:rFonts w:hint="eastAsia"/>
        </w:rPr>
        <w:t>调查内容</w:t>
      </w:r>
      <w:bookmarkEnd w:id="111"/>
      <w:bookmarkEnd w:id="112"/>
    </w:p>
    <w:p>
      <w:pPr>
        <w:pStyle w:val="212"/>
      </w:pPr>
      <w:r>
        <w:rPr>
          <w:rFonts w:hint="eastAsia"/>
        </w:rPr>
        <w:t>调查内容应包括灌区自然条件、社会经济情况、灌区工程现状、灌区信息化建设状况和灌区标准化管理五个方面，分析灌区现状及其存在的问题。</w:t>
      </w:r>
    </w:p>
    <w:p>
      <w:pPr>
        <w:pStyle w:val="212"/>
      </w:pPr>
      <w:r>
        <w:rPr>
          <w:rFonts w:hint="eastAsia"/>
        </w:rPr>
        <w:t>灌区自然条件和社会经济情况调查应包括地形地貌地质、气象水文、土壤资料、自然灾害和社会经济情况等内容。</w:t>
      </w:r>
    </w:p>
    <w:p>
      <w:pPr>
        <w:pStyle w:val="212"/>
      </w:pPr>
      <w:r>
        <w:rPr>
          <w:rFonts w:hint="eastAsia"/>
        </w:rPr>
        <w:t>灌区工程现状调查应包括水源工程、骨干工程、田间工程等内容。</w:t>
      </w:r>
    </w:p>
    <w:p>
      <w:pPr>
        <w:pStyle w:val="212"/>
      </w:pPr>
      <w:r>
        <w:rPr>
          <w:rFonts w:hint="eastAsia"/>
        </w:rPr>
        <w:t>灌区信息化建设现状调查应包括已开展的信息化建设等内容。</w:t>
      </w:r>
    </w:p>
    <w:p>
      <w:pPr>
        <w:pStyle w:val="56"/>
        <w:ind w:firstLine="420"/>
      </w:pPr>
      <w:r>
        <w:rPr>
          <w:rFonts w:hint="eastAsia"/>
        </w:rPr>
        <w:t>大型灌区现状调查表参见附录B.1,中型灌区现状调查宜在大型灌区现状调查表基础上进行简化设计。</w:t>
      </w:r>
    </w:p>
    <w:p>
      <w:pPr>
        <w:pStyle w:val="78"/>
        <w:spacing w:before="156" w:after="156"/>
      </w:pPr>
      <w:bookmarkStart w:id="113" w:name="_Toc183181885"/>
      <w:bookmarkStart w:id="114" w:name="_Toc183183504"/>
      <w:r>
        <w:rPr>
          <w:rFonts w:hint="eastAsia"/>
        </w:rPr>
        <w:t>调查方法</w:t>
      </w:r>
      <w:bookmarkEnd w:id="113"/>
      <w:bookmarkEnd w:id="114"/>
    </w:p>
    <w:p>
      <w:pPr>
        <w:pStyle w:val="212"/>
      </w:pPr>
      <w:r>
        <w:rPr>
          <w:rFonts w:hint="eastAsia"/>
        </w:rPr>
        <w:t>灌区不同调查内容的调查方法如下：</w:t>
      </w:r>
    </w:p>
    <w:p>
      <w:pPr>
        <w:pStyle w:val="174"/>
      </w:pPr>
      <w:r>
        <w:rPr>
          <w:rFonts w:hint="eastAsia"/>
        </w:rPr>
        <w:t>自然社会条件调查宜采用资料搜集法以及现场勘查法；</w:t>
      </w:r>
    </w:p>
    <w:p>
      <w:pPr>
        <w:pStyle w:val="174"/>
      </w:pPr>
      <w:r>
        <w:rPr>
          <w:rFonts w:hint="eastAsia"/>
        </w:rPr>
        <w:t>工程现状调查宜采用资料搜集法、现场勘查法以及咨询法。</w:t>
      </w:r>
    </w:p>
    <w:p>
      <w:pPr>
        <w:pStyle w:val="212"/>
      </w:pPr>
      <w:r>
        <w:rPr>
          <w:rFonts w:hint="eastAsia"/>
        </w:rPr>
        <w:t>调查采用的资料应以地方统计年鉴中的数据为基本数据。采用灌区实测数据和其他资料时，应认真仔细核实数据的真实性。</w:t>
      </w:r>
    </w:p>
    <w:p>
      <w:pPr>
        <w:pStyle w:val="212"/>
      </w:pPr>
      <w:r>
        <w:rPr>
          <w:rFonts w:hint="eastAsia"/>
        </w:rPr>
        <w:t>调查的各项内容应采用同一基准年，基准年宜采用资料齐全的最近年份。</w:t>
      </w:r>
    </w:p>
    <w:p>
      <w:pPr>
        <w:pStyle w:val="78"/>
        <w:spacing w:before="156" w:after="156"/>
      </w:pPr>
      <w:bookmarkStart w:id="115" w:name="_Toc183183505"/>
      <w:bookmarkStart w:id="116" w:name="_Toc183181886"/>
      <w:r>
        <w:rPr>
          <w:rFonts w:hint="eastAsia"/>
        </w:rPr>
        <w:t>灌区节水现状和效益调查表</w:t>
      </w:r>
      <w:bookmarkEnd w:id="115"/>
      <w:bookmarkEnd w:id="116"/>
    </w:p>
    <w:p>
      <w:pPr>
        <w:pStyle w:val="56"/>
        <w:ind w:firstLine="420"/>
      </w:pPr>
      <w:r>
        <w:rPr>
          <w:rFonts w:hint="eastAsia"/>
        </w:rPr>
        <w:t>灌区节水现状和效益调查表见表B.1。</w:t>
      </w:r>
    </w:p>
    <w:p>
      <w:pPr>
        <w:pStyle w:val="77"/>
        <w:spacing w:before="156" w:after="156"/>
      </w:pPr>
      <w:r>
        <w:rPr>
          <w:rFonts w:hint="eastAsia"/>
        </w:rPr>
        <w:t>灌区节水现状和效益调查表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28"/>
        <w:gridCol w:w="2410"/>
        <w:gridCol w:w="553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28" w:type="dxa"/>
            <w:tcBorders>
              <w:top w:val="single" w:color="auto" w:sz="8" w:space="0"/>
              <w:bottom w:val="single" w:color="auto" w:sz="8" w:space="0"/>
            </w:tcBorders>
            <w:shd w:val="clear" w:color="auto" w:fill="auto"/>
            <w:vAlign w:val="center"/>
          </w:tcPr>
          <w:p>
            <w:pPr>
              <w:pStyle w:val="178"/>
            </w:pPr>
            <w:r>
              <w:rPr>
                <w:rFonts w:hint="eastAsia"/>
              </w:rPr>
              <w:t>灌区名称</w:t>
            </w:r>
          </w:p>
        </w:tc>
        <w:tc>
          <w:tcPr>
            <w:tcW w:w="7946" w:type="dxa"/>
            <w:gridSpan w:val="2"/>
            <w:tcBorders>
              <w:top w:val="single" w:color="auto" w:sz="8" w:space="0"/>
              <w:bottom w:val="single" w:color="auto" w:sz="8" w:space="0"/>
            </w:tcBorders>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3"/>
            <w:tcBorders>
              <w:top w:val="single" w:color="auto" w:sz="8" w:space="0"/>
            </w:tcBorders>
            <w:shd w:val="clear" w:color="auto" w:fill="auto"/>
            <w:vAlign w:val="center"/>
          </w:tcPr>
          <w:p>
            <w:pPr>
              <w:pStyle w:val="178"/>
            </w:pPr>
            <w:r>
              <w:rPr>
                <w:rFonts w:hint="eastAsia"/>
              </w:rPr>
              <w:t>一、自然条件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restart"/>
            <w:shd w:val="clear" w:color="auto" w:fill="auto"/>
            <w:vAlign w:val="center"/>
          </w:tcPr>
          <w:p>
            <w:pPr>
              <w:pStyle w:val="178"/>
            </w:pPr>
            <w:r>
              <w:rPr>
                <w:rFonts w:hint="eastAsia"/>
              </w:rPr>
              <w:t>地形地貌</w:t>
            </w:r>
          </w:p>
        </w:tc>
        <w:tc>
          <w:tcPr>
            <w:tcW w:w="2410" w:type="dxa"/>
            <w:shd w:val="clear" w:color="auto" w:fill="auto"/>
            <w:vAlign w:val="center"/>
          </w:tcPr>
          <w:p>
            <w:pPr>
              <w:pStyle w:val="178"/>
            </w:pPr>
            <w:r>
              <w:rPr>
                <w:rFonts w:hint="eastAsia"/>
              </w:rPr>
              <w:t>区域地形（丘陵、平原、圩区）</w:t>
            </w:r>
          </w:p>
        </w:tc>
        <w:tc>
          <w:tcPr>
            <w:tcW w:w="553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continue"/>
            <w:shd w:val="clear" w:color="auto" w:fill="auto"/>
            <w:vAlign w:val="center"/>
          </w:tcPr>
          <w:p>
            <w:pPr>
              <w:pStyle w:val="178"/>
            </w:pPr>
          </w:p>
        </w:tc>
        <w:tc>
          <w:tcPr>
            <w:tcW w:w="2410" w:type="dxa"/>
            <w:shd w:val="clear" w:color="auto" w:fill="auto"/>
            <w:vAlign w:val="center"/>
          </w:tcPr>
          <w:p>
            <w:pPr>
              <w:pStyle w:val="178"/>
            </w:pPr>
            <w:r>
              <w:rPr>
                <w:rFonts w:hint="eastAsia"/>
              </w:rPr>
              <w:t>地貌特征（丘陵、平原、水域占比）</w:t>
            </w:r>
          </w:p>
        </w:tc>
        <w:tc>
          <w:tcPr>
            <w:tcW w:w="553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continue"/>
            <w:shd w:val="clear" w:color="auto" w:fill="auto"/>
            <w:vAlign w:val="center"/>
          </w:tcPr>
          <w:p>
            <w:pPr>
              <w:pStyle w:val="178"/>
            </w:pPr>
          </w:p>
        </w:tc>
        <w:tc>
          <w:tcPr>
            <w:tcW w:w="2410" w:type="dxa"/>
            <w:shd w:val="clear" w:color="auto" w:fill="auto"/>
            <w:vAlign w:val="center"/>
          </w:tcPr>
          <w:p>
            <w:pPr>
              <w:pStyle w:val="178"/>
            </w:pPr>
            <w:r>
              <w:rPr>
                <w:rFonts w:hint="eastAsia"/>
              </w:rPr>
              <w:t>土地利用结构</w:t>
            </w:r>
          </w:p>
        </w:tc>
        <w:tc>
          <w:tcPr>
            <w:tcW w:w="553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428" w:type="dxa"/>
            <w:vMerge w:val="restart"/>
            <w:shd w:val="clear" w:color="auto" w:fill="auto"/>
            <w:vAlign w:val="center"/>
          </w:tcPr>
          <w:p>
            <w:pPr>
              <w:pStyle w:val="178"/>
            </w:pPr>
            <w:r>
              <w:rPr>
                <w:rFonts w:hint="eastAsia"/>
              </w:rPr>
              <w:t>水文、气象</w:t>
            </w:r>
          </w:p>
        </w:tc>
        <w:tc>
          <w:tcPr>
            <w:tcW w:w="2410" w:type="dxa"/>
            <w:shd w:val="clear" w:color="auto" w:fill="auto"/>
            <w:vAlign w:val="center"/>
          </w:tcPr>
          <w:p>
            <w:pPr>
              <w:pStyle w:val="178"/>
            </w:pPr>
            <w:r>
              <w:rPr>
                <w:rFonts w:hint="eastAsia"/>
              </w:rPr>
              <w:t>多年平均降水量、蒸发量，历史最大、最小年降水量</w:t>
            </w:r>
          </w:p>
        </w:tc>
        <w:tc>
          <w:tcPr>
            <w:tcW w:w="553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continue"/>
            <w:shd w:val="clear" w:color="auto" w:fill="auto"/>
            <w:vAlign w:val="center"/>
          </w:tcPr>
          <w:p>
            <w:pPr>
              <w:pStyle w:val="178"/>
            </w:pPr>
          </w:p>
        </w:tc>
        <w:tc>
          <w:tcPr>
            <w:tcW w:w="2410" w:type="dxa"/>
            <w:shd w:val="clear" w:color="auto" w:fill="auto"/>
            <w:vAlign w:val="center"/>
          </w:tcPr>
          <w:p>
            <w:pPr>
              <w:pStyle w:val="178"/>
            </w:pPr>
            <w:r>
              <w:rPr>
                <w:rFonts w:hint="eastAsia"/>
              </w:rPr>
              <w:t>年逐月平均气温、历史最高气温、最低气温</w:t>
            </w:r>
          </w:p>
        </w:tc>
        <w:tc>
          <w:tcPr>
            <w:tcW w:w="553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continue"/>
            <w:shd w:val="clear" w:color="auto" w:fill="auto"/>
            <w:vAlign w:val="center"/>
          </w:tcPr>
          <w:p>
            <w:pPr>
              <w:pStyle w:val="178"/>
            </w:pPr>
          </w:p>
        </w:tc>
        <w:tc>
          <w:tcPr>
            <w:tcW w:w="2410" w:type="dxa"/>
            <w:shd w:val="clear" w:color="auto" w:fill="auto"/>
            <w:vAlign w:val="center"/>
          </w:tcPr>
          <w:p>
            <w:pPr>
              <w:pStyle w:val="178"/>
            </w:pPr>
            <w:r>
              <w:rPr>
                <w:rFonts w:hint="eastAsia"/>
              </w:rPr>
              <w:t>年日照时间、雨日、无霜期</w:t>
            </w:r>
          </w:p>
        </w:tc>
        <w:tc>
          <w:tcPr>
            <w:tcW w:w="553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continue"/>
            <w:shd w:val="clear" w:color="auto" w:fill="auto"/>
            <w:vAlign w:val="center"/>
          </w:tcPr>
          <w:p>
            <w:pPr>
              <w:pStyle w:val="178"/>
            </w:pPr>
          </w:p>
        </w:tc>
        <w:tc>
          <w:tcPr>
            <w:tcW w:w="2410" w:type="dxa"/>
            <w:shd w:val="clear" w:color="auto" w:fill="auto"/>
            <w:vAlign w:val="center"/>
          </w:tcPr>
          <w:p>
            <w:pPr>
              <w:pStyle w:val="178"/>
            </w:pPr>
            <w:r>
              <w:rPr>
                <w:rFonts w:hint="eastAsia"/>
              </w:rPr>
              <w:t>河流水系、湖泊（水源、承泄区以及灌区内主要河流、湖泊）</w:t>
            </w:r>
          </w:p>
        </w:tc>
        <w:tc>
          <w:tcPr>
            <w:tcW w:w="5536" w:type="dxa"/>
            <w:shd w:val="clear" w:color="auto" w:fill="auto"/>
            <w:vAlign w:val="center"/>
          </w:tcPr>
          <w:p>
            <w:pPr>
              <w:pStyle w:val="178"/>
            </w:pPr>
          </w:p>
        </w:tc>
      </w:tr>
    </w:tbl>
    <w:p>
      <w:pPr>
        <w:pStyle w:val="56"/>
        <w:spacing w:before="156" w:beforeLines="50" w:after="156" w:afterLines="50"/>
        <w:ind w:firstLine="0" w:firstLineChars="0"/>
        <w:jc w:val="center"/>
        <w:rPr>
          <w:rFonts w:ascii="黑体" w:hAnsi="黑体" w:eastAsia="黑体"/>
        </w:rPr>
      </w:pPr>
      <w:r>
        <w:rPr>
          <w:rFonts w:hint="eastAsia" w:ascii="黑体" w:hAnsi="黑体" w:eastAsia="黑体"/>
        </w:rPr>
        <w:t>表B.1  灌区节水现状和效益调查表</w:t>
      </w:r>
      <w:r>
        <w:rPr>
          <w:rFonts w:hint="eastAsia" w:hAnsi="宋体"/>
        </w:rPr>
        <w:t>（续）</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28"/>
        <w:gridCol w:w="2410"/>
        <w:gridCol w:w="553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28" w:type="dxa"/>
            <w:vMerge w:val="restart"/>
            <w:tcBorders>
              <w:top w:val="single" w:color="auto" w:sz="8" w:space="0"/>
            </w:tcBorders>
            <w:shd w:val="clear" w:color="auto" w:fill="auto"/>
            <w:vAlign w:val="center"/>
          </w:tcPr>
          <w:p>
            <w:pPr>
              <w:pStyle w:val="178"/>
            </w:pPr>
            <w:r>
              <w:rPr>
                <w:rFonts w:hint="eastAsia"/>
              </w:rPr>
              <w:t>土壤、地质</w:t>
            </w:r>
          </w:p>
        </w:tc>
        <w:tc>
          <w:tcPr>
            <w:tcW w:w="2410" w:type="dxa"/>
            <w:tcBorders>
              <w:top w:val="single" w:color="auto" w:sz="8" w:space="0"/>
              <w:bottom w:val="single" w:color="auto" w:sz="8" w:space="0"/>
            </w:tcBorders>
            <w:shd w:val="clear" w:color="auto" w:fill="auto"/>
            <w:vAlign w:val="center"/>
          </w:tcPr>
          <w:p>
            <w:pPr>
              <w:pStyle w:val="178"/>
            </w:pPr>
            <w:r>
              <w:rPr>
                <w:rFonts w:hint="eastAsia"/>
              </w:rPr>
              <w:t>土壤类型及分布</w:t>
            </w:r>
          </w:p>
        </w:tc>
        <w:tc>
          <w:tcPr>
            <w:tcW w:w="5536" w:type="dxa"/>
            <w:tcBorders>
              <w:top w:val="single" w:color="auto" w:sz="8" w:space="0"/>
              <w:bottom w:val="single" w:color="auto" w:sz="8" w:space="0"/>
            </w:tcBorders>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continue"/>
            <w:shd w:val="clear" w:color="auto" w:fill="auto"/>
            <w:vAlign w:val="center"/>
          </w:tcPr>
          <w:p>
            <w:pPr>
              <w:pStyle w:val="178"/>
            </w:pPr>
          </w:p>
        </w:tc>
        <w:tc>
          <w:tcPr>
            <w:tcW w:w="2410" w:type="dxa"/>
            <w:shd w:val="clear" w:color="auto" w:fill="auto"/>
            <w:vAlign w:val="center"/>
          </w:tcPr>
          <w:p>
            <w:pPr>
              <w:pStyle w:val="178"/>
            </w:pPr>
            <w:r>
              <w:rPr>
                <w:rFonts w:hint="eastAsia"/>
              </w:rPr>
              <w:t>地下水埋深及矿化度</w:t>
            </w:r>
          </w:p>
        </w:tc>
        <w:tc>
          <w:tcPr>
            <w:tcW w:w="553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restart"/>
            <w:shd w:val="clear" w:color="auto" w:fill="auto"/>
            <w:vAlign w:val="center"/>
          </w:tcPr>
          <w:p>
            <w:pPr>
              <w:pStyle w:val="178"/>
            </w:pPr>
            <w:r>
              <w:rPr>
                <w:rFonts w:hint="eastAsia"/>
              </w:rPr>
              <w:t>种植结构</w:t>
            </w:r>
          </w:p>
        </w:tc>
        <w:tc>
          <w:tcPr>
            <w:tcW w:w="2410" w:type="dxa"/>
            <w:shd w:val="clear" w:color="auto" w:fill="auto"/>
            <w:vAlign w:val="center"/>
          </w:tcPr>
          <w:p>
            <w:pPr>
              <w:pStyle w:val="178"/>
            </w:pPr>
            <w:r>
              <w:rPr>
                <w:rFonts w:hint="eastAsia"/>
              </w:rPr>
              <w:t>耕地面积</w:t>
            </w:r>
          </w:p>
        </w:tc>
        <w:tc>
          <w:tcPr>
            <w:tcW w:w="553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continue"/>
            <w:shd w:val="clear" w:color="auto" w:fill="auto"/>
            <w:vAlign w:val="center"/>
          </w:tcPr>
          <w:p>
            <w:pPr>
              <w:pStyle w:val="178"/>
            </w:pPr>
          </w:p>
        </w:tc>
        <w:tc>
          <w:tcPr>
            <w:tcW w:w="2410" w:type="dxa"/>
            <w:shd w:val="clear" w:color="auto" w:fill="auto"/>
            <w:vAlign w:val="center"/>
          </w:tcPr>
          <w:p>
            <w:pPr>
              <w:pStyle w:val="178"/>
            </w:pPr>
            <w:r>
              <w:rPr>
                <w:rFonts w:hint="eastAsia"/>
              </w:rPr>
              <w:t>各种作物种植面积及复种指数</w:t>
            </w:r>
          </w:p>
        </w:tc>
        <w:tc>
          <w:tcPr>
            <w:tcW w:w="553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restart"/>
            <w:shd w:val="clear" w:color="auto" w:fill="auto"/>
            <w:vAlign w:val="center"/>
          </w:tcPr>
          <w:p>
            <w:pPr>
              <w:pStyle w:val="178"/>
            </w:pPr>
            <w:r>
              <w:rPr>
                <w:rFonts w:hint="eastAsia"/>
              </w:rPr>
              <w:t>生态与环境</w:t>
            </w:r>
          </w:p>
        </w:tc>
        <w:tc>
          <w:tcPr>
            <w:tcW w:w="2410" w:type="dxa"/>
            <w:shd w:val="clear" w:color="auto" w:fill="auto"/>
            <w:vAlign w:val="center"/>
          </w:tcPr>
          <w:p>
            <w:pPr>
              <w:pStyle w:val="178"/>
            </w:pPr>
            <w:r>
              <w:rPr>
                <w:rFonts w:hint="eastAsia"/>
              </w:rPr>
              <w:t>农田林网及植被情况</w:t>
            </w:r>
          </w:p>
        </w:tc>
        <w:tc>
          <w:tcPr>
            <w:tcW w:w="553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continue"/>
            <w:shd w:val="clear" w:color="auto" w:fill="auto"/>
            <w:vAlign w:val="center"/>
          </w:tcPr>
          <w:p>
            <w:pPr>
              <w:pStyle w:val="178"/>
            </w:pPr>
          </w:p>
        </w:tc>
        <w:tc>
          <w:tcPr>
            <w:tcW w:w="2410" w:type="dxa"/>
            <w:shd w:val="clear" w:color="auto" w:fill="auto"/>
            <w:vAlign w:val="center"/>
          </w:tcPr>
          <w:p>
            <w:pPr>
              <w:pStyle w:val="178"/>
            </w:pPr>
            <w:r>
              <w:rPr>
                <w:rFonts w:hint="eastAsia"/>
              </w:rPr>
              <w:t>水土流失情况</w:t>
            </w:r>
          </w:p>
        </w:tc>
        <w:tc>
          <w:tcPr>
            <w:tcW w:w="553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continue"/>
            <w:shd w:val="clear" w:color="auto" w:fill="auto"/>
            <w:vAlign w:val="center"/>
          </w:tcPr>
          <w:p>
            <w:pPr>
              <w:pStyle w:val="178"/>
            </w:pPr>
          </w:p>
        </w:tc>
        <w:tc>
          <w:tcPr>
            <w:tcW w:w="2410" w:type="dxa"/>
            <w:shd w:val="clear" w:color="auto" w:fill="auto"/>
          </w:tcPr>
          <w:p>
            <w:pPr>
              <w:pStyle w:val="230"/>
              <w:widowControl w:val="0"/>
              <w:ind w:firstLine="0" w:firstLineChars="0"/>
              <w:jc w:val="center"/>
              <w:rPr>
                <w:rFonts w:ascii="仿宋_GB2312" w:hAnsi="仿宋_GB2312" w:cs="宋体"/>
                <w:sz w:val="18"/>
                <w:szCs w:val="18"/>
              </w:rPr>
            </w:pPr>
            <w:r>
              <w:rPr>
                <w:rFonts w:hint="eastAsia" w:hAnsi="宋体"/>
                <w:sz w:val="18"/>
                <w:szCs w:val="18"/>
              </w:rPr>
              <w:t>主要水体水质情况</w:t>
            </w:r>
          </w:p>
        </w:tc>
        <w:tc>
          <w:tcPr>
            <w:tcW w:w="553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restart"/>
            <w:shd w:val="clear" w:color="auto" w:fill="auto"/>
            <w:vAlign w:val="center"/>
          </w:tcPr>
          <w:p>
            <w:pPr>
              <w:pStyle w:val="178"/>
            </w:pPr>
            <w:r>
              <w:rPr>
                <w:rFonts w:hint="eastAsia"/>
              </w:rPr>
              <w:t>自然灾害</w:t>
            </w:r>
          </w:p>
        </w:tc>
        <w:tc>
          <w:tcPr>
            <w:tcW w:w="2410" w:type="dxa"/>
            <w:shd w:val="clear" w:color="auto" w:fill="auto"/>
          </w:tcPr>
          <w:p>
            <w:pPr>
              <w:pStyle w:val="230"/>
              <w:widowControl w:val="0"/>
              <w:ind w:firstLine="0" w:firstLineChars="0"/>
              <w:jc w:val="center"/>
              <w:rPr>
                <w:rFonts w:ascii="仿宋_GB2312" w:hAnsi="仿宋_GB2312" w:cs="宋体"/>
                <w:sz w:val="18"/>
                <w:szCs w:val="18"/>
              </w:rPr>
            </w:pPr>
            <w:r>
              <w:rPr>
                <w:rFonts w:hint="eastAsia" w:hAnsi="宋体"/>
                <w:sz w:val="18"/>
                <w:szCs w:val="18"/>
              </w:rPr>
              <w:t>自然灾害种类</w:t>
            </w:r>
          </w:p>
        </w:tc>
        <w:tc>
          <w:tcPr>
            <w:tcW w:w="553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continue"/>
            <w:shd w:val="clear" w:color="auto" w:fill="auto"/>
            <w:vAlign w:val="center"/>
          </w:tcPr>
          <w:p>
            <w:pPr>
              <w:pStyle w:val="178"/>
            </w:pPr>
          </w:p>
        </w:tc>
        <w:tc>
          <w:tcPr>
            <w:tcW w:w="2410" w:type="dxa"/>
            <w:shd w:val="clear" w:color="auto" w:fill="auto"/>
          </w:tcPr>
          <w:p>
            <w:pPr>
              <w:pStyle w:val="230"/>
              <w:widowControl w:val="0"/>
              <w:ind w:firstLine="0" w:firstLineChars="0"/>
              <w:jc w:val="center"/>
              <w:rPr>
                <w:rFonts w:ascii="仿宋_GB2312" w:hAnsi="仿宋_GB2312" w:cs="宋体"/>
                <w:sz w:val="18"/>
                <w:szCs w:val="18"/>
              </w:rPr>
            </w:pPr>
            <w:r>
              <w:rPr>
                <w:rFonts w:hint="eastAsia" w:hAnsi="宋体"/>
                <w:sz w:val="18"/>
                <w:szCs w:val="18"/>
              </w:rPr>
              <w:t>灾害季节及程度</w:t>
            </w:r>
          </w:p>
        </w:tc>
        <w:tc>
          <w:tcPr>
            <w:tcW w:w="553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3"/>
            <w:shd w:val="clear" w:color="auto" w:fill="auto"/>
            <w:vAlign w:val="center"/>
          </w:tcPr>
          <w:p>
            <w:pPr>
              <w:pStyle w:val="178"/>
            </w:pPr>
            <w:r>
              <w:rPr>
                <w:rFonts w:hint="eastAsia"/>
              </w:rPr>
              <w:t>二、社会经济状况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restart"/>
            <w:shd w:val="clear" w:color="auto" w:fill="auto"/>
            <w:vAlign w:val="center"/>
          </w:tcPr>
          <w:p>
            <w:pPr>
              <w:pStyle w:val="178"/>
            </w:pPr>
            <w:r>
              <w:rPr>
                <w:rFonts w:hint="eastAsia"/>
              </w:rPr>
              <w:t>行政区域</w:t>
            </w:r>
          </w:p>
        </w:tc>
        <w:tc>
          <w:tcPr>
            <w:tcW w:w="2410" w:type="dxa"/>
            <w:shd w:val="clear" w:color="auto" w:fill="auto"/>
          </w:tcPr>
          <w:p>
            <w:pPr>
              <w:pStyle w:val="230"/>
              <w:widowControl w:val="0"/>
              <w:ind w:firstLine="0" w:firstLineChars="0"/>
              <w:jc w:val="center"/>
              <w:rPr>
                <w:rFonts w:hAnsi="宋体"/>
                <w:sz w:val="18"/>
                <w:szCs w:val="18"/>
              </w:rPr>
            </w:pPr>
            <w:r>
              <w:rPr>
                <w:rFonts w:hint="eastAsia"/>
                <w:sz w:val="18"/>
                <w:szCs w:val="18"/>
              </w:rPr>
              <w:t>县区数</w:t>
            </w:r>
          </w:p>
        </w:tc>
        <w:tc>
          <w:tcPr>
            <w:tcW w:w="553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continue"/>
            <w:shd w:val="clear" w:color="auto" w:fill="auto"/>
            <w:vAlign w:val="center"/>
          </w:tcPr>
          <w:p>
            <w:pPr>
              <w:pStyle w:val="178"/>
            </w:pPr>
          </w:p>
        </w:tc>
        <w:tc>
          <w:tcPr>
            <w:tcW w:w="2410" w:type="dxa"/>
            <w:shd w:val="clear" w:color="auto" w:fill="auto"/>
          </w:tcPr>
          <w:p>
            <w:pPr>
              <w:pStyle w:val="230"/>
              <w:widowControl w:val="0"/>
              <w:ind w:firstLine="0" w:firstLineChars="0"/>
              <w:jc w:val="center"/>
              <w:rPr>
                <w:rFonts w:hAnsi="宋体"/>
                <w:sz w:val="18"/>
                <w:szCs w:val="18"/>
              </w:rPr>
            </w:pPr>
            <w:r>
              <w:rPr>
                <w:rFonts w:hint="eastAsia" w:hAnsi="宋体"/>
                <w:sz w:val="18"/>
                <w:szCs w:val="18"/>
              </w:rPr>
              <w:t>乡镇村数</w:t>
            </w:r>
          </w:p>
        </w:tc>
        <w:tc>
          <w:tcPr>
            <w:tcW w:w="553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restart"/>
            <w:shd w:val="clear" w:color="auto" w:fill="auto"/>
            <w:vAlign w:val="center"/>
          </w:tcPr>
          <w:p>
            <w:pPr>
              <w:pStyle w:val="178"/>
            </w:pPr>
            <w:r>
              <w:rPr>
                <w:rFonts w:hint="eastAsia"/>
              </w:rPr>
              <w:t>人口及劳动力</w:t>
            </w:r>
          </w:p>
        </w:tc>
        <w:tc>
          <w:tcPr>
            <w:tcW w:w="2410" w:type="dxa"/>
            <w:shd w:val="clear" w:color="auto" w:fill="auto"/>
          </w:tcPr>
          <w:p>
            <w:pPr>
              <w:pStyle w:val="230"/>
              <w:widowControl w:val="0"/>
              <w:ind w:firstLine="0" w:firstLineChars="0"/>
              <w:jc w:val="center"/>
              <w:rPr>
                <w:rFonts w:hAnsi="宋体"/>
                <w:sz w:val="18"/>
                <w:szCs w:val="18"/>
              </w:rPr>
            </w:pPr>
            <w:r>
              <w:rPr>
                <w:rFonts w:hint="eastAsia"/>
                <w:sz w:val="18"/>
                <w:szCs w:val="18"/>
              </w:rPr>
              <w:t>男女人口</w:t>
            </w:r>
          </w:p>
        </w:tc>
        <w:tc>
          <w:tcPr>
            <w:tcW w:w="553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continue"/>
            <w:shd w:val="clear" w:color="auto" w:fill="auto"/>
            <w:vAlign w:val="center"/>
          </w:tcPr>
          <w:p>
            <w:pPr>
              <w:pStyle w:val="178"/>
            </w:pPr>
          </w:p>
        </w:tc>
        <w:tc>
          <w:tcPr>
            <w:tcW w:w="2410" w:type="dxa"/>
            <w:shd w:val="clear" w:color="auto" w:fill="auto"/>
          </w:tcPr>
          <w:p>
            <w:pPr>
              <w:pStyle w:val="230"/>
              <w:widowControl w:val="0"/>
              <w:ind w:firstLine="0" w:firstLineChars="0"/>
              <w:jc w:val="center"/>
              <w:rPr>
                <w:sz w:val="18"/>
                <w:szCs w:val="18"/>
              </w:rPr>
            </w:pPr>
            <w:r>
              <w:rPr>
                <w:rFonts w:hint="eastAsia"/>
                <w:sz w:val="18"/>
                <w:szCs w:val="18"/>
              </w:rPr>
              <w:t>劳动力</w:t>
            </w:r>
          </w:p>
        </w:tc>
        <w:tc>
          <w:tcPr>
            <w:tcW w:w="553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restart"/>
            <w:shd w:val="clear" w:color="auto" w:fill="auto"/>
            <w:vAlign w:val="center"/>
          </w:tcPr>
          <w:p>
            <w:pPr>
              <w:pStyle w:val="178"/>
            </w:pPr>
            <w:r>
              <w:rPr>
                <w:rFonts w:hint="eastAsia"/>
              </w:rPr>
              <w:t>产业状况</w:t>
            </w:r>
          </w:p>
        </w:tc>
        <w:tc>
          <w:tcPr>
            <w:tcW w:w="2410" w:type="dxa"/>
            <w:shd w:val="clear" w:color="auto" w:fill="auto"/>
          </w:tcPr>
          <w:p>
            <w:pPr>
              <w:pStyle w:val="230"/>
              <w:widowControl w:val="0"/>
              <w:ind w:firstLine="0" w:firstLineChars="0"/>
              <w:jc w:val="center"/>
              <w:rPr>
                <w:sz w:val="18"/>
                <w:szCs w:val="18"/>
              </w:rPr>
            </w:pPr>
            <w:r>
              <w:rPr>
                <w:rFonts w:hint="eastAsia"/>
                <w:sz w:val="18"/>
                <w:szCs w:val="18"/>
              </w:rPr>
              <w:t>农作物产量</w:t>
            </w:r>
          </w:p>
        </w:tc>
        <w:tc>
          <w:tcPr>
            <w:tcW w:w="553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continue"/>
            <w:shd w:val="clear" w:color="auto" w:fill="auto"/>
            <w:vAlign w:val="center"/>
          </w:tcPr>
          <w:p>
            <w:pPr>
              <w:pStyle w:val="178"/>
            </w:pPr>
          </w:p>
        </w:tc>
        <w:tc>
          <w:tcPr>
            <w:tcW w:w="2410" w:type="dxa"/>
            <w:shd w:val="clear" w:color="auto" w:fill="auto"/>
          </w:tcPr>
          <w:p>
            <w:pPr>
              <w:pStyle w:val="230"/>
              <w:widowControl w:val="0"/>
              <w:ind w:firstLine="0" w:firstLineChars="0"/>
              <w:jc w:val="center"/>
              <w:rPr>
                <w:rFonts w:ascii="仿宋_GB2312" w:hAnsi="仿宋_GB2312" w:cs="宋体"/>
                <w:sz w:val="18"/>
                <w:szCs w:val="18"/>
              </w:rPr>
            </w:pPr>
            <w:r>
              <w:rPr>
                <w:rFonts w:hint="eastAsia" w:hAnsi="宋体"/>
                <w:sz w:val="18"/>
                <w:szCs w:val="18"/>
              </w:rPr>
              <w:t>工业种类</w:t>
            </w:r>
          </w:p>
        </w:tc>
        <w:tc>
          <w:tcPr>
            <w:tcW w:w="553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continue"/>
            <w:shd w:val="clear" w:color="auto" w:fill="auto"/>
            <w:vAlign w:val="center"/>
          </w:tcPr>
          <w:p>
            <w:pPr>
              <w:pStyle w:val="178"/>
            </w:pPr>
          </w:p>
        </w:tc>
        <w:tc>
          <w:tcPr>
            <w:tcW w:w="2410" w:type="dxa"/>
            <w:shd w:val="clear" w:color="auto" w:fill="auto"/>
          </w:tcPr>
          <w:p>
            <w:pPr>
              <w:pStyle w:val="230"/>
              <w:widowControl w:val="0"/>
              <w:ind w:firstLine="0" w:firstLineChars="0"/>
              <w:jc w:val="center"/>
              <w:rPr>
                <w:rFonts w:ascii="仿宋_GB2312" w:hAnsi="仿宋_GB2312" w:cs="宋体"/>
                <w:sz w:val="18"/>
                <w:szCs w:val="18"/>
              </w:rPr>
            </w:pPr>
            <w:r>
              <w:rPr>
                <w:rFonts w:hint="eastAsia" w:hAnsi="宋体"/>
                <w:sz w:val="18"/>
                <w:szCs w:val="18"/>
              </w:rPr>
              <w:t>服务业种类</w:t>
            </w:r>
          </w:p>
        </w:tc>
        <w:tc>
          <w:tcPr>
            <w:tcW w:w="553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shd w:val="clear" w:color="auto" w:fill="auto"/>
            <w:vAlign w:val="center"/>
          </w:tcPr>
          <w:p>
            <w:pPr>
              <w:pStyle w:val="178"/>
            </w:pPr>
            <w:r>
              <w:rPr>
                <w:rFonts w:hint="eastAsia"/>
              </w:rPr>
              <w:t>经济状况</w:t>
            </w:r>
          </w:p>
        </w:tc>
        <w:tc>
          <w:tcPr>
            <w:tcW w:w="2410" w:type="dxa"/>
            <w:shd w:val="clear" w:color="auto" w:fill="auto"/>
          </w:tcPr>
          <w:p>
            <w:pPr>
              <w:pStyle w:val="230"/>
              <w:widowControl w:val="0"/>
              <w:ind w:firstLine="0" w:firstLineChars="0"/>
              <w:jc w:val="center"/>
              <w:rPr>
                <w:sz w:val="18"/>
                <w:szCs w:val="18"/>
              </w:rPr>
            </w:pPr>
            <w:r>
              <w:rPr>
                <w:rFonts w:hint="eastAsia"/>
                <w:sz w:val="18"/>
                <w:szCs w:val="18"/>
              </w:rPr>
              <w:t>三产比例</w:t>
            </w:r>
          </w:p>
        </w:tc>
        <w:tc>
          <w:tcPr>
            <w:tcW w:w="553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shd w:val="clear" w:color="auto" w:fill="auto"/>
            <w:vAlign w:val="center"/>
          </w:tcPr>
          <w:p>
            <w:pPr>
              <w:pStyle w:val="178"/>
            </w:pPr>
          </w:p>
        </w:tc>
        <w:tc>
          <w:tcPr>
            <w:tcW w:w="2410" w:type="dxa"/>
            <w:shd w:val="clear" w:color="auto" w:fill="auto"/>
          </w:tcPr>
          <w:p>
            <w:pPr>
              <w:pStyle w:val="230"/>
              <w:widowControl w:val="0"/>
              <w:ind w:firstLine="0" w:firstLineChars="0"/>
              <w:jc w:val="center"/>
              <w:rPr>
                <w:sz w:val="18"/>
                <w:szCs w:val="18"/>
              </w:rPr>
            </w:pPr>
            <w:r>
              <w:rPr>
                <w:rFonts w:hint="eastAsia"/>
                <w:sz w:val="18"/>
                <w:szCs w:val="18"/>
              </w:rPr>
              <w:t>人均纯收入</w:t>
            </w:r>
          </w:p>
        </w:tc>
        <w:tc>
          <w:tcPr>
            <w:tcW w:w="553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3"/>
            <w:shd w:val="clear" w:color="auto" w:fill="auto"/>
            <w:vAlign w:val="center"/>
          </w:tcPr>
          <w:p>
            <w:pPr>
              <w:pStyle w:val="178"/>
            </w:pPr>
            <w:r>
              <w:rPr>
                <w:rFonts w:hint="eastAsia"/>
              </w:rPr>
              <w:t>三、灌区工程现状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restart"/>
            <w:shd w:val="clear" w:color="auto" w:fill="auto"/>
            <w:vAlign w:val="center"/>
          </w:tcPr>
          <w:p>
            <w:pPr>
              <w:pStyle w:val="178"/>
            </w:pPr>
            <w:r>
              <w:rPr>
                <w:rFonts w:hint="eastAsia"/>
              </w:rPr>
              <w:t>灌溉面积</w:t>
            </w:r>
          </w:p>
        </w:tc>
        <w:tc>
          <w:tcPr>
            <w:tcW w:w="2410" w:type="dxa"/>
            <w:shd w:val="clear" w:color="auto" w:fill="auto"/>
          </w:tcPr>
          <w:p>
            <w:pPr>
              <w:pStyle w:val="230"/>
              <w:widowControl w:val="0"/>
              <w:ind w:firstLine="0" w:firstLineChars="0"/>
              <w:jc w:val="center"/>
              <w:rPr>
                <w:sz w:val="18"/>
                <w:szCs w:val="18"/>
              </w:rPr>
            </w:pPr>
            <w:r>
              <w:rPr>
                <w:rFonts w:hint="eastAsia"/>
                <w:sz w:val="18"/>
                <w:szCs w:val="18"/>
              </w:rPr>
              <w:t>设计灌溉面积</w:t>
            </w:r>
          </w:p>
        </w:tc>
        <w:tc>
          <w:tcPr>
            <w:tcW w:w="553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continue"/>
            <w:shd w:val="clear" w:color="auto" w:fill="auto"/>
            <w:vAlign w:val="center"/>
          </w:tcPr>
          <w:p>
            <w:pPr>
              <w:pStyle w:val="178"/>
            </w:pPr>
          </w:p>
        </w:tc>
        <w:tc>
          <w:tcPr>
            <w:tcW w:w="2410" w:type="dxa"/>
            <w:shd w:val="clear" w:color="auto" w:fill="auto"/>
          </w:tcPr>
          <w:p>
            <w:pPr>
              <w:pStyle w:val="230"/>
              <w:widowControl w:val="0"/>
              <w:ind w:firstLine="0" w:firstLineChars="0"/>
              <w:jc w:val="center"/>
              <w:rPr>
                <w:rFonts w:ascii="仿宋_GB2312" w:hAnsi="仿宋_GB2312" w:cs="宋体"/>
                <w:sz w:val="18"/>
                <w:szCs w:val="18"/>
              </w:rPr>
            </w:pPr>
            <w:r>
              <w:rPr>
                <w:rFonts w:hint="eastAsia" w:hAnsi="宋体"/>
                <w:sz w:val="18"/>
                <w:szCs w:val="18"/>
              </w:rPr>
              <w:t>实际灌溉面积</w:t>
            </w:r>
          </w:p>
        </w:tc>
        <w:tc>
          <w:tcPr>
            <w:tcW w:w="553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continue"/>
            <w:shd w:val="clear" w:color="auto" w:fill="auto"/>
            <w:vAlign w:val="center"/>
          </w:tcPr>
          <w:p>
            <w:pPr>
              <w:pStyle w:val="178"/>
            </w:pPr>
          </w:p>
        </w:tc>
        <w:tc>
          <w:tcPr>
            <w:tcW w:w="2410" w:type="dxa"/>
            <w:shd w:val="clear" w:color="auto" w:fill="auto"/>
          </w:tcPr>
          <w:p>
            <w:pPr>
              <w:pStyle w:val="230"/>
              <w:widowControl w:val="0"/>
              <w:ind w:firstLine="0" w:firstLineChars="0"/>
              <w:jc w:val="center"/>
              <w:rPr>
                <w:rFonts w:ascii="仿宋_GB2312" w:hAnsi="仿宋_GB2312" w:cs="宋体"/>
                <w:sz w:val="18"/>
                <w:szCs w:val="18"/>
              </w:rPr>
            </w:pPr>
            <w:r>
              <w:rPr>
                <w:rFonts w:hint="eastAsia" w:hAnsi="宋体"/>
                <w:sz w:val="18"/>
                <w:szCs w:val="18"/>
              </w:rPr>
              <w:t>灌溉保证率</w:t>
            </w:r>
          </w:p>
        </w:tc>
        <w:tc>
          <w:tcPr>
            <w:tcW w:w="553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shd w:val="clear" w:color="auto" w:fill="auto"/>
            <w:vAlign w:val="center"/>
          </w:tcPr>
          <w:p>
            <w:pPr>
              <w:pStyle w:val="178"/>
            </w:pPr>
            <w:r>
              <w:rPr>
                <w:rFonts w:hint="eastAsia"/>
              </w:rPr>
              <w:t>水源工程</w:t>
            </w:r>
          </w:p>
        </w:tc>
        <w:tc>
          <w:tcPr>
            <w:tcW w:w="2410" w:type="dxa"/>
            <w:shd w:val="clear" w:color="auto" w:fill="auto"/>
          </w:tcPr>
          <w:p>
            <w:pPr>
              <w:pStyle w:val="230"/>
              <w:widowControl w:val="0"/>
              <w:ind w:firstLine="0" w:firstLineChars="0"/>
              <w:jc w:val="center"/>
              <w:rPr>
                <w:sz w:val="18"/>
                <w:szCs w:val="18"/>
              </w:rPr>
            </w:pPr>
            <w:r>
              <w:rPr>
                <w:rFonts w:hint="eastAsia"/>
                <w:sz w:val="18"/>
                <w:szCs w:val="18"/>
              </w:rPr>
              <w:t>水源类型及主要建筑物</w:t>
            </w:r>
          </w:p>
        </w:tc>
        <w:tc>
          <w:tcPr>
            <w:tcW w:w="553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restart"/>
            <w:shd w:val="clear" w:color="auto" w:fill="auto"/>
            <w:vAlign w:val="center"/>
          </w:tcPr>
          <w:p>
            <w:pPr>
              <w:pStyle w:val="178"/>
            </w:pPr>
            <w:r>
              <w:rPr>
                <w:rFonts w:hint="eastAsia"/>
              </w:rPr>
              <w:t>骨干工程</w:t>
            </w:r>
          </w:p>
        </w:tc>
        <w:tc>
          <w:tcPr>
            <w:tcW w:w="2410" w:type="dxa"/>
            <w:shd w:val="clear" w:color="auto" w:fill="auto"/>
          </w:tcPr>
          <w:p>
            <w:pPr>
              <w:pStyle w:val="230"/>
              <w:widowControl w:val="0"/>
              <w:ind w:firstLine="0" w:firstLineChars="0"/>
              <w:jc w:val="center"/>
              <w:rPr>
                <w:rFonts w:ascii="仿宋_GB2312" w:hAnsi="仿宋_GB2312" w:cs="宋体"/>
                <w:sz w:val="18"/>
                <w:szCs w:val="18"/>
              </w:rPr>
            </w:pPr>
            <w:r>
              <w:rPr>
                <w:rFonts w:hint="eastAsia" w:hAnsi="宋体"/>
                <w:sz w:val="18"/>
                <w:szCs w:val="18"/>
              </w:rPr>
              <w:t>干渠数量、长度及规格</w:t>
            </w:r>
          </w:p>
        </w:tc>
        <w:tc>
          <w:tcPr>
            <w:tcW w:w="553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continue"/>
            <w:shd w:val="clear" w:color="auto" w:fill="auto"/>
            <w:vAlign w:val="center"/>
          </w:tcPr>
          <w:p>
            <w:pPr>
              <w:pStyle w:val="178"/>
            </w:pPr>
          </w:p>
        </w:tc>
        <w:tc>
          <w:tcPr>
            <w:tcW w:w="2410" w:type="dxa"/>
            <w:shd w:val="clear" w:color="auto" w:fill="auto"/>
          </w:tcPr>
          <w:p>
            <w:pPr>
              <w:pStyle w:val="230"/>
              <w:widowControl w:val="0"/>
              <w:ind w:firstLine="0" w:firstLineChars="0"/>
              <w:jc w:val="center"/>
              <w:rPr>
                <w:rFonts w:ascii="仿宋_GB2312" w:hAnsi="仿宋_GB2312" w:cs="宋体"/>
                <w:sz w:val="18"/>
                <w:szCs w:val="18"/>
              </w:rPr>
            </w:pPr>
            <w:r>
              <w:rPr>
                <w:rFonts w:hint="eastAsia" w:hAnsi="宋体"/>
                <w:sz w:val="18"/>
                <w:szCs w:val="18"/>
              </w:rPr>
              <w:t>支渠数量、长度及规格</w:t>
            </w:r>
          </w:p>
        </w:tc>
        <w:tc>
          <w:tcPr>
            <w:tcW w:w="553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continue"/>
            <w:shd w:val="clear" w:color="auto" w:fill="auto"/>
            <w:vAlign w:val="center"/>
          </w:tcPr>
          <w:p>
            <w:pPr>
              <w:pStyle w:val="178"/>
            </w:pPr>
          </w:p>
        </w:tc>
        <w:tc>
          <w:tcPr>
            <w:tcW w:w="2410" w:type="dxa"/>
            <w:shd w:val="clear" w:color="auto" w:fill="auto"/>
          </w:tcPr>
          <w:p>
            <w:pPr>
              <w:pStyle w:val="230"/>
              <w:widowControl w:val="0"/>
              <w:ind w:firstLine="0" w:firstLineChars="0"/>
              <w:jc w:val="center"/>
              <w:rPr>
                <w:rFonts w:ascii="仿宋_GB2312" w:hAnsi="仿宋_GB2312" w:cs="宋体"/>
                <w:sz w:val="18"/>
                <w:szCs w:val="18"/>
              </w:rPr>
            </w:pPr>
            <w:r>
              <w:rPr>
                <w:rFonts w:hint="eastAsia" w:hAnsi="宋体"/>
                <w:sz w:val="18"/>
                <w:szCs w:val="18"/>
              </w:rPr>
              <w:t>骨干工程配套率、完好率</w:t>
            </w:r>
          </w:p>
        </w:tc>
        <w:tc>
          <w:tcPr>
            <w:tcW w:w="553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continue"/>
            <w:shd w:val="clear" w:color="auto" w:fill="auto"/>
            <w:vAlign w:val="center"/>
          </w:tcPr>
          <w:p>
            <w:pPr>
              <w:pStyle w:val="178"/>
            </w:pPr>
          </w:p>
        </w:tc>
        <w:tc>
          <w:tcPr>
            <w:tcW w:w="2410" w:type="dxa"/>
            <w:shd w:val="clear" w:color="auto" w:fill="auto"/>
          </w:tcPr>
          <w:p>
            <w:pPr>
              <w:pStyle w:val="230"/>
              <w:widowControl w:val="0"/>
              <w:ind w:firstLine="0" w:firstLineChars="0"/>
              <w:jc w:val="center"/>
              <w:rPr>
                <w:rFonts w:hAnsi="宋体"/>
                <w:sz w:val="18"/>
                <w:szCs w:val="18"/>
              </w:rPr>
            </w:pPr>
            <w:r>
              <w:rPr>
                <w:rFonts w:hint="eastAsia" w:hAnsi="宋体"/>
                <w:sz w:val="18"/>
                <w:szCs w:val="18"/>
              </w:rPr>
              <w:t>干支渠衬砌率（m/m）</w:t>
            </w:r>
          </w:p>
        </w:tc>
        <w:tc>
          <w:tcPr>
            <w:tcW w:w="553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continue"/>
            <w:shd w:val="clear" w:color="auto" w:fill="auto"/>
            <w:vAlign w:val="center"/>
          </w:tcPr>
          <w:p>
            <w:pPr>
              <w:pStyle w:val="178"/>
            </w:pPr>
          </w:p>
        </w:tc>
        <w:tc>
          <w:tcPr>
            <w:tcW w:w="2410" w:type="dxa"/>
            <w:shd w:val="clear" w:color="auto" w:fill="auto"/>
          </w:tcPr>
          <w:p>
            <w:pPr>
              <w:pStyle w:val="230"/>
              <w:widowControl w:val="0"/>
              <w:ind w:firstLine="0" w:firstLineChars="0"/>
              <w:jc w:val="center"/>
              <w:rPr>
                <w:rFonts w:hAnsi="宋体"/>
                <w:sz w:val="18"/>
                <w:szCs w:val="18"/>
              </w:rPr>
            </w:pPr>
            <w:r>
              <w:rPr>
                <w:rFonts w:hint="eastAsia" w:hAnsi="宋体"/>
                <w:sz w:val="18"/>
                <w:szCs w:val="18"/>
              </w:rPr>
              <w:t>生态干支渠占比（m/m）</w:t>
            </w:r>
          </w:p>
        </w:tc>
        <w:tc>
          <w:tcPr>
            <w:tcW w:w="5536" w:type="dxa"/>
            <w:shd w:val="clear" w:color="auto" w:fill="auto"/>
            <w:vAlign w:val="center"/>
          </w:tcPr>
          <w:p>
            <w:pPr>
              <w:pStyle w:val="178"/>
            </w:pPr>
          </w:p>
        </w:tc>
      </w:tr>
    </w:tbl>
    <w:p>
      <w:pPr>
        <w:pStyle w:val="56"/>
        <w:ind w:firstLine="420"/>
      </w:pPr>
      <w:r>
        <w:rPr>
          <w:rFonts w:hint="eastAsia"/>
        </w:rPr>
        <w:t>调查地点：                      调查人：</w:t>
      </w:r>
    </w:p>
    <w:p>
      <w:pPr>
        <w:pStyle w:val="56"/>
        <w:ind w:firstLine="420"/>
      </w:pPr>
      <w:r>
        <w:rPr>
          <w:rFonts w:hint="eastAsia"/>
        </w:rPr>
        <w:t>调查单位（盖章）：              灌区单位（盖章）：</w:t>
      </w:r>
    </w:p>
    <w:p>
      <w:pPr>
        <w:pStyle w:val="56"/>
        <w:ind w:firstLine="420"/>
      </w:pPr>
      <w:r>
        <w:rPr>
          <w:rFonts w:hint="eastAsia"/>
        </w:rPr>
        <w:t>审核人：                        日期：</w:t>
      </w:r>
    </w:p>
    <w:p>
      <w:pPr>
        <w:pStyle w:val="56"/>
        <w:ind w:firstLine="420"/>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type="lines" w:linePitch="312" w:charSpace="0"/>
        </w:sectPr>
      </w:pPr>
    </w:p>
    <w:p>
      <w:pPr>
        <w:pStyle w:val="198"/>
        <w:rPr>
          <w:vanish w:val="0"/>
        </w:rPr>
      </w:pPr>
    </w:p>
    <w:p>
      <w:pPr>
        <w:pStyle w:val="199"/>
        <w:rPr>
          <w:vanish w:val="0"/>
        </w:rPr>
      </w:pPr>
    </w:p>
    <w:p>
      <w:pPr>
        <w:pStyle w:val="76"/>
        <w:spacing w:after="156"/>
      </w:pPr>
      <w:r>
        <w:br w:type="textWrapping"/>
      </w:r>
      <w:bookmarkStart w:id="117" w:name="_Toc183181887"/>
      <w:bookmarkStart w:id="118" w:name="_Toc183183506"/>
      <w:r>
        <w:rPr>
          <w:rFonts w:hint="eastAsia"/>
        </w:rPr>
        <w:t>（规范性）</w:t>
      </w:r>
      <w:r>
        <w:br w:type="textWrapping"/>
      </w:r>
      <w:r>
        <w:rPr>
          <w:rFonts w:hint="eastAsia"/>
        </w:rPr>
        <w:t>节水效益指标计算方法</w:t>
      </w:r>
      <w:bookmarkEnd w:id="117"/>
      <w:bookmarkEnd w:id="118"/>
    </w:p>
    <w:p>
      <w:pPr>
        <w:pStyle w:val="211"/>
      </w:pPr>
      <w:r>
        <w:rPr>
          <w:rFonts w:hint="eastAsia"/>
        </w:rPr>
        <w:t>增产效益应为已发生年份的实际增产值，宜按下式计算：</w:t>
      </w:r>
    </w:p>
    <w:p>
      <w:pPr>
        <w:pStyle w:val="113"/>
      </w:pPr>
      <w:r>
        <w:tab/>
      </w:r>
      <m:oMath>
        <m:sSub>
          <m:sSubPr>
            <m:ctrlPr>
              <w:rPr>
                <w:rFonts w:ascii="Cambria Math" w:hAnsi="Cambria Math"/>
              </w:rPr>
            </m:ctrlPr>
          </m:sSubPr>
          <m:e>
            <m:r>
              <m:rPr/>
              <w:rPr>
                <w:rFonts w:ascii="Cambria Math" w:hAnsi="Cambria Math"/>
              </w:rPr>
              <m:t>B</m:t>
            </m:r>
            <m:ctrlPr>
              <w:rPr>
                <w:rFonts w:ascii="Cambria Math" w:hAnsi="Cambria Math"/>
              </w:rPr>
            </m:ctrlPr>
          </m:e>
          <m:sub>
            <m:r>
              <m:rPr/>
              <w:rPr>
                <w:rFonts w:ascii="Cambria Math" w:hAnsi="Cambria Math"/>
              </w:rPr>
              <m:t>j</m:t>
            </m:r>
            <m:ctrlPr>
              <w:rPr>
                <w:rFonts w:ascii="Cambria Math" w:hAnsi="Cambria Math"/>
              </w:rPr>
            </m:ctrlPr>
          </m:sub>
        </m:sSub>
        <m:r>
          <m:rPr>
            <m:sty m:val="p"/>
          </m:rPr>
          <w:rPr>
            <w:rFonts w:ascii="Cambria Math" w:hAnsi="Cambria Math"/>
          </w:rPr>
          <m:t>=</m:t>
        </m:r>
        <m:nary>
          <m:naryPr>
            <m:chr m:val="∑"/>
            <m:limLoc m:val="subSup"/>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n</m:t>
            </m:r>
            <m:ctrlPr>
              <w:rPr>
                <w:rFonts w:ascii="Cambria Math" w:hAnsi="Cambria Math"/>
              </w:rPr>
            </m:ctrlPr>
          </m:sup>
          <m:e>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rPr>
            </m:ctrlPr>
          </m:e>
        </m:nary>
        <m:d>
          <m:dPr>
            <m:ctrlPr>
              <w:rPr>
                <w:rFonts w:ascii="Cambria Math" w:hAnsi="Cambria Math"/>
                <w:i/>
              </w:rPr>
            </m:ctrlPr>
          </m:dPr>
          <m:e>
            <m:sSub>
              <m:sSubPr>
                <m:ctrlPr>
                  <w:rPr>
                    <w:rFonts w:ascii="Cambria Math" w:hAnsi="Cambria Math"/>
                    <w:i/>
                  </w:rPr>
                </m:ctrlPr>
              </m:sSubPr>
              <m:e>
                <m:r>
                  <m:rPr/>
                  <w:rPr>
                    <w:rFonts w:ascii="Cambria Math" w:hAnsi="Cambria Math"/>
                  </w:rPr>
                  <m:t>Y</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Y</m:t>
                </m:r>
                <m:ctrlPr>
                  <w:rPr>
                    <w:rFonts w:ascii="Cambria Math" w:hAnsi="Cambria Math"/>
                    <w:i/>
                  </w:rPr>
                </m:ctrlPr>
              </m:e>
              <m:sub>
                <m:r>
                  <m:rPr/>
                  <w:rPr>
                    <w:rFonts w:ascii="Cambria Math" w:hAnsi="Cambria Math"/>
                  </w:rPr>
                  <m:t>0i</m:t>
                </m:r>
                <m:ctrlPr>
                  <w:rPr>
                    <w:rFonts w:ascii="Cambria Math" w:hAnsi="Cambria Math"/>
                    <w:i/>
                  </w:rPr>
                </m:ctrlPr>
              </m:sub>
            </m:sSub>
            <m:ctrlPr>
              <w:rPr>
                <w:rFonts w:ascii="Cambria Math" w:hAnsi="Cambria Math"/>
                <w:i/>
              </w:rPr>
            </m:ctrlPr>
          </m:e>
        </m:d>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Sup>
              <m:sSubSupPr>
                <m:ctrlPr>
                  <w:rPr>
                    <w:rFonts w:ascii="Cambria Math" w:hAnsi="Cambria Math"/>
                    <w:i/>
                  </w:rPr>
                </m:ctrlPr>
              </m:sSubSupPr>
              <m:e>
                <m:r>
                  <m:rPr/>
                  <w:rPr>
                    <w:rFonts w:ascii="Cambria Math" w:hAnsi="Cambria Math"/>
                  </w:rPr>
                  <m:t>Y</m:t>
                </m:r>
                <m:ctrlPr>
                  <w:rPr>
                    <w:rFonts w:ascii="Cambria Math" w:hAnsi="Cambria Math"/>
                    <w:i/>
                  </w:rPr>
                </m:ctrlPr>
              </m:e>
              <m:sub>
                <m:r>
                  <m:rPr/>
                  <w:rPr>
                    <w:rFonts w:ascii="Cambria Math" w:hAnsi="Cambria Math"/>
                  </w:rPr>
                  <m:t>i</m:t>
                </m:r>
                <m:ctrlPr>
                  <w:rPr>
                    <w:rFonts w:ascii="Cambria Math" w:hAnsi="Cambria Math"/>
                    <w:i/>
                  </w:rPr>
                </m:ctrlPr>
              </m:sub>
              <m:sup>
                <m:r>
                  <m:rPr/>
                  <w:rPr>
                    <w:rFonts w:ascii="Cambria Math" w:hAnsi="Cambria Math"/>
                  </w:rPr>
                  <m:t>'</m:t>
                </m:r>
                <m:ctrlPr>
                  <w:rPr>
                    <w:rFonts w:ascii="Cambria Math" w:hAnsi="Cambria Math"/>
                    <w:i/>
                  </w:rPr>
                </m:ctrlPr>
              </m:sup>
            </m:sSubSup>
            <m:ctrlPr>
              <w:rPr>
                <w:rFonts w:ascii="Cambria Math" w:hAnsi="Cambria Math"/>
                <w:i/>
              </w:rPr>
            </m:ctrlPr>
          </m:e>
        </m:nary>
        <m:r>
          <m:rPr/>
          <w:rPr>
            <w:rFonts w:ascii="Cambria Math" w:hAnsi="Cambria Math"/>
          </w:rPr>
          <m:t>−</m:t>
        </m:r>
        <m:sSubSup>
          <m:sSubSupPr>
            <m:ctrlPr>
              <w:rPr>
                <w:rFonts w:ascii="Cambria Math" w:hAnsi="Cambria Math"/>
                <w:i/>
              </w:rPr>
            </m:ctrlPr>
          </m:sSubSupPr>
          <m:e>
            <m:r>
              <m:rPr/>
              <w:rPr>
                <w:rFonts w:ascii="Cambria Math" w:hAnsi="Cambria Math"/>
              </w:rPr>
              <m:t>Y</m:t>
            </m:r>
            <m:ctrlPr>
              <w:rPr>
                <w:rFonts w:ascii="Cambria Math" w:hAnsi="Cambria Math"/>
                <w:i/>
              </w:rPr>
            </m:ctrlPr>
          </m:e>
          <m:sub>
            <m:r>
              <m:rPr/>
              <w:rPr>
                <w:rFonts w:ascii="Cambria Math" w:hAnsi="Cambria Math"/>
              </w:rPr>
              <m:t>0i</m:t>
            </m:r>
            <m:ctrlPr>
              <w:rPr>
                <w:rFonts w:ascii="Cambria Math" w:hAnsi="Cambria Math"/>
                <w:i/>
              </w:rPr>
            </m:ctrlPr>
          </m:sub>
          <m:sup>
            <m:r>
              <m:rPr/>
              <w:rPr>
                <w:rFonts w:ascii="Cambria Math" w:hAnsi="Cambria Math"/>
              </w:rPr>
              <m:t>'</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up>
            <m:r>
              <m:rPr/>
              <w:rPr>
                <w:rFonts w:ascii="Cambria Math" w:hAnsi="Cambria Math"/>
              </w:rPr>
              <m:t>'</m:t>
            </m:r>
            <m:ctrlPr>
              <w:rPr>
                <w:rFonts w:ascii="Cambria Math" w:hAnsi="Cambria Math"/>
                <w:i/>
              </w:rPr>
            </m:ctrlPr>
          </m:sup>
        </m:sSubSup>
      </m:oMath>
      <w:r>
        <w:rPr>
          <w:rFonts w:ascii="微软雅黑" w:hAnsi="微软雅黑" w:eastAsia="微软雅黑"/>
        </w:rPr>
        <w:tab/>
      </w:r>
      <w:r>
        <w:t>(C.</w:t>
      </w:r>
      <w:r>
        <w:fldChar w:fldCharType="begin"/>
      </w:r>
      <w:r>
        <w:instrText xml:space="preserve"> seq fulu_equation_133767320626730000 </w:instrText>
      </w:r>
      <w:r>
        <w:fldChar w:fldCharType="separate"/>
      </w:r>
      <w:r>
        <w:t>1</w:t>
      </w:r>
      <w:r>
        <w:fldChar w:fldCharType="end"/>
      </w:r>
      <w:r>
        <w:t>)</w:t>
      </w:r>
    </w:p>
    <w:p>
      <w:pPr>
        <w:pStyle w:val="55"/>
        <w:ind w:firstLine="420"/>
      </w:pPr>
      <w:r>
        <w:rPr>
          <w:rFonts w:hint="eastAsia"/>
        </w:rPr>
        <w:t>式中：</w:t>
      </w:r>
    </w:p>
    <w:p>
      <w:pPr>
        <w:pStyle w:val="56"/>
        <w:ind w:firstLine="420"/>
      </w:pPr>
      <m:oMath>
        <m:sSub>
          <m:sSubPr>
            <m:ctrlPr>
              <w:rPr>
                <w:rFonts w:ascii="Cambria Math" w:hAnsi="Cambria Math"/>
              </w:rPr>
            </m:ctrlPr>
          </m:sSubPr>
          <m:e>
            <m:r>
              <m:rPr/>
              <w:rPr>
                <w:rFonts w:ascii="Cambria Math" w:hAnsi="Cambria Math"/>
              </w:rPr>
              <m:t>B</m:t>
            </m:r>
            <m:ctrlPr>
              <w:rPr>
                <w:rFonts w:ascii="Cambria Math" w:hAnsi="Cambria Math"/>
              </w:rPr>
            </m:ctrlPr>
          </m:e>
          <m:sub>
            <m:r>
              <m:rPr/>
              <w:rPr>
                <w:rFonts w:ascii="Cambria Math" w:hAnsi="Cambria Math"/>
              </w:rPr>
              <m:t>j</m:t>
            </m:r>
            <m:ctrlPr>
              <w:rPr>
                <w:rFonts w:ascii="Cambria Math" w:hAnsi="Cambria Math"/>
              </w:rPr>
            </m:ctrlPr>
          </m:sub>
        </m:sSub>
      </m:oMath>
      <w:r>
        <w:rPr>
          <w:rFonts w:hint="eastAsia"/>
        </w:rPr>
        <w:t>——第j年灌区内的增产值(元)；</w:t>
      </w:r>
    </w:p>
    <w:p>
      <w:pPr>
        <w:pStyle w:val="56"/>
        <w:ind w:firstLine="420"/>
      </w:pPr>
      <m:oMath>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i</m:t>
            </m:r>
            <m:ctrlPr>
              <w:rPr>
                <w:rFonts w:ascii="Cambria Math" w:hAnsi="Cambria Math"/>
                <w:i/>
              </w:rPr>
            </m:ctrlPr>
          </m:sub>
        </m:sSub>
      </m:oMath>
      <w:r>
        <w:rPr>
          <w:rFonts w:hint="eastAsia"/>
        </w:rPr>
        <w:t>——工程建成前灌区第i种作物的种植面积(hm</w:t>
      </w:r>
      <w:r>
        <w:rPr>
          <w:rFonts w:hint="eastAsia"/>
          <w:vertAlign w:val="superscript"/>
        </w:rPr>
        <w:t>2</w:t>
      </w:r>
      <w:r>
        <w:rPr>
          <w:rFonts w:hint="eastAsia"/>
        </w:rPr>
        <w:t>)；</w:t>
      </w:r>
    </w:p>
    <w:p>
      <w:pPr>
        <w:pStyle w:val="56"/>
        <w:ind w:firstLine="420"/>
      </w:pPr>
      <m:oMath>
        <m:sSub>
          <m:sSubPr>
            <m:ctrlPr>
              <w:rPr>
                <w:rFonts w:ascii="Cambria Math" w:hAnsi="Cambria Math"/>
                <w:i/>
              </w:rPr>
            </m:ctrlPr>
          </m:sSubPr>
          <m:e>
            <m:r>
              <m:rPr/>
              <w:rPr>
                <w:rFonts w:ascii="Cambria Math" w:hAnsi="Cambria Math"/>
              </w:rPr>
              <m:t>Y</m:t>
            </m:r>
            <m:ctrlPr>
              <w:rPr>
                <w:rFonts w:ascii="Cambria Math" w:hAnsi="Cambria Math"/>
                <w:i/>
              </w:rPr>
            </m:ctrlPr>
          </m:e>
          <m:sub>
            <m:r>
              <m:rPr/>
              <w:rPr>
                <w:rFonts w:ascii="Cambria Math" w:hAnsi="Cambria Math"/>
              </w:rPr>
              <m:t>i</m:t>
            </m:r>
            <m:ctrlPr>
              <w:rPr>
                <w:rFonts w:ascii="Cambria Math" w:hAnsi="Cambria Math"/>
                <w:i/>
              </w:rPr>
            </m:ctrlPr>
          </m:sub>
        </m:sSub>
      </m:oMath>
      <w:r>
        <w:rPr>
          <w:rFonts w:hint="eastAsia"/>
        </w:rPr>
        <w:t xml:space="preserve">  </w:t>
      </w:r>
      <m:oMath>
        <m:sSubSup>
          <m:sSubSupPr>
            <m:ctrlPr>
              <w:rPr>
                <w:rFonts w:ascii="Cambria Math" w:hAnsi="Cambria Math"/>
                <w:i/>
              </w:rPr>
            </m:ctrlPr>
          </m:sSubSupPr>
          <m:e>
            <m:r>
              <m:rPr/>
              <w:rPr>
                <w:rFonts w:ascii="Cambria Math" w:hAnsi="Cambria Math"/>
              </w:rPr>
              <m:t>Y</m:t>
            </m:r>
            <m:ctrlPr>
              <w:rPr>
                <w:rFonts w:ascii="Cambria Math" w:hAnsi="Cambria Math"/>
                <w:i/>
              </w:rPr>
            </m:ctrlPr>
          </m:e>
          <m:sub>
            <m:r>
              <m:rPr/>
              <w:rPr>
                <w:rFonts w:ascii="Cambria Math" w:hAnsi="Cambria Math"/>
              </w:rPr>
              <m:t>i</m:t>
            </m:r>
            <m:ctrlPr>
              <w:rPr>
                <w:rFonts w:ascii="Cambria Math" w:hAnsi="Cambria Math"/>
                <w:i/>
              </w:rPr>
            </m:ctrlPr>
          </m:sub>
          <m:sup>
            <m:r>
              <m:rPr/>
              <w:rPr>
                <w:rFonts w:ascii="Cambria Math" w:hAnsi="Cambria Math"/>
              </w:rPr>
              <m:t>'</m:t>
            </m:r>
            <m:ctrlPr>
              <w:rPr>
                <w:rFonts w:ascii="Cambria Math" w:hAnsi="Cambria Math"/>
                <w:i/>
              </w:rPr>
            </m:ctrlPr>
          </m:sup>
        </m:sSubSup>
      </m:oMath>
      <w:r>
        <w:rPr>
          <w:rFonts w:hint="eastAsia"/>
        </w:rPr>
        <w:t>——工程建成后,第i种作物主副产品的产量(kg/hm</w:t>
      </w:r>
      <w:r>
        <w:rPr>
          <w:rFonts w:hint="eastAsia"/>
          <w:vertAlign w:val="superscript"/>
        </w:rPr>
        <w:t>2</w:t>
      </w:r>
      <w:r>
        <w:rPr>
          <w:rFonts w:hint="eastAsia"/>
        </w:rPr>
        <w:t>)；</w:t>
      </w:r>
    </w:p>
    <w:p>
      <w:pPr>
        <w:pStyle w:val="56"/>
        <w:ind w:firstLine="420"/>
      </w:pPr>
      <m:oMath>
        <m:sSub>
          <m:sSubPr>
            <m:ctrlPr>
              <w:rPr>
                <w:rFonts w:ascii="Cambria Math" w:hAnsi="Cambria Math"/>
                <w:i/>
              </w:rPr>
            </m:ctrlPr>
          </m:sSubPr>
          <m:e>
            <m:r>
              <m:rPr/>
              <w:rPr>
                <w:rFonts w:ascii="Cambria Math" w:hAnsi="Cambria Math"/>
              </w:rPr>
              <m:t>Y</m:t>
            </m:r>
            <m:ctrlPr>
              <w:rPr>
                <w:rFonts w:ascii="Cambria Math" w:hAnsi="Cambria Math"/>
                <w:i/>
              </w:rPr>
            </m:ctrlPr>
          </m:e>
          <m:sub>
            <m:r>
              <m:rPr/>
              <w:rPr>
                <w:rFonts w:ascii="Cambria Math" w:hAnsi="Cambria Math"/>
              </w:rPr>
              <m:t>0i</m:t>
            </m:r>
            <m:ctrlPr>
              <w:rPr>
                <w:rFonts w:ascii="Cambria Math" w:hAnsi="Cambria Math"/>
                <w:i/>
              </w:rPr>
            </m:ctrlPr>
          </m:sub>
        </m:sSub>
      </m:oMath>
      <w:r>
        <w:rPr>
          <w:rFonts w:hint="eastAsia"/>
        </w:rPr>
        <w:t xml:space="preserve">  </w:t>
      </w:r>
      <m:oMath>
        <m:sSubSup>
          <m:sSubSupPr>
            <m:ctrlPr>
              <w:rPr>
                <w:rFonts w:ascii="Cambria Math" w:hAnsi="Cambria Math"/>
                <w:i/>
              </w:rPr>
            </m:ctrlPr>
          </m:sSubSupPr>
          <m:e>
            <m:r>
              <m:rPr/>
              <w:rPr>
                <w:rFonts w:ascii="Cambria Math" w:hAnsi="Cambria Math"/>
              </w:rPr>
              <m:t>Y</m:t>
            </m:r>
            <m:ctrlPr>
              <w:rPr>
                <w:rFonts w:ascii="Cambria Math" w:hAnsi="Cambria Math"/>
                <w:i/>
              </w:rPr>
            </m:ctrlPr>
          </m:e>
          <m:sub>
            <m:r>
              <m:rPr/>
              <w:rPr>
                <w:rFonts w:ascii="Cambria Math" w:hAnsi="Cambria Math"/>
              </w:rPr>
              <m:t>i</m:t>
            </m:r>
            <m:ctrlPr>
              <w:rPr>
                <w:rFonts w:ascii="Cambria Math" w:hAnsi="Cambria Math"/>
                <w:i/>
              </w:rPr>
            </m:ctrlPr>
          </m:sub>
          <m:sup>
            <m:r>
              <m:rPr/>
              <w:rPr>
                <w:rFonts w:ascii="Cambria Math" w:hAnsi="Cambria Math"/>
              </w:rPr>
              <m:t>'</m:t>
            </m:r>
            <m:ctrlPr>
              <w:rPr>
                <w:rFonts w:ascii="Cambria Math" w:hAnsi="Cambria Math"/>
                <w:i/>
              </w:rPr>
            </m:ctrlPr>
          </m:sup>
        </m:sSubSup>
      </m:oMath>
      <w:r>
        <w:rPr>
          <w:rFonts w:hint="eastAsia"/>
        </w:rPr>
        <w:t>——工程建成前,第i种作物主副产品的产量(kg/hm</w:t>
      </w:r>
      <w:r>
        <w:rPr>
          <w:rFonts w:hint="eastAsia"/>
          <w:vertAlign w:val="superscript"/>
        </w:rPr>
        <w:t>2</w:t>
      </w:r>
      <w:r>
        <w:rPr>
          <w:rFonts w:hint="eastAsia"/>
        </w:rPr>
        <w:t>)</w:t>
      </w:r>
    </w:p>
    <w:p>
      <w:pPr>
        <w:pStyle w:val="56"/>
        <w:ind w:firstLine="420"/>
      </w:pPr>
      <m:oMath>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oMath>
      <w:r>
        <w:rPr>
          <w:rFonts w:hint="eastAsia"/>
        </w:rPr>
        <w:t xml:space="preserve">  </w:t>
      </w:r>
      <m:oMath>
        <m:sSubSup>
          <m:sSubSupPr>
            <m:ctrlPr>
              <w:rPr>
                <w:rFonts w:ascii="Cambria Math" w:hAnsi="Cambria Math"/>
                <w:i/>
              </w:rPr>
            </m:ctrlPr>
          </m:sSubSup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up>
            <m:r>
              <m:rPr/>
              <w:rPr>
                <w:rFonts w:ascii="Cambria Math" w:hAnsi="Cambria Math"/>
              </w:rPr>
              <m:t>'</m:t>
            </m:r>
            <m:ctrlPr>
              <w:rPr>
                <w:rFonts w:ascii="Cambria Math" w:hAnsi="Cambria Math"/>
                <w:i/>
              </w:rPr>
            </m:ctrlPr>
          </m:sup>
        </m:sSubSup>
      </m:oMath>
      <w:r>
        <w:rPr>
          <w:rFonts w:hint="eastAsia"/>
        </w:rPr>
        <w:t>——第i种作物主副产品的单价(元/kg)；</w:t>
      </w:r>
    </w:p>
    <w:p>
      <w:pPr>
        <w:pStyle w:val="56"/>
        <w:ind w:firstLine="420"/>
      </w:pPr>
      <w:r>
        <w:rPr>
          <w:rFonts w:hint="eastAsia"/>
        </w:rPr>
        <w:t>i——作物种类序号；</w:t>
      </w:r>
    </w:p>
    <w:p>
      <w:pPr>
        <w:pStyle w:val="56"/>
        <w:ind w:firstLine="420"/>
      </w:pPr>
      <w:r>
        <w:rPr>
          <w:rFonts w:hint="eastAsia"/>
        </w:rPr>
        <w:t>n——该区种植作物种类数。</w:t>
      </w:r>
    </w:p>
    <w:p>
      <w:pPr>
        <w:pStyle w:val="211"/>
      </w:pPr>
      <w:r>
        <w:rPr>
          <w:rFonts w:hint="eastAsia"/>
        </w:rPr>
        <w:t>节水率应以工程实施后的省水量占原灌溉用水量的百分比表示,宜按下式计算：</w:t>
      </w:r>
    </w:p>
    <w:p>
      <w:pPr>
        <w:pStyle w:val="113"/>
      </w:pPr>
      <w:r>
        <w:tab/>
      </w:r>
      <m:oMath>
        <m:sSub>
          <m:sSubPr>
            <m:ctrlPr>
              <w:rPr>
                <w:rFonts w:ascii="Cambria Math" w:hAnsi="Cambria Math"/>
              </w:rPr>
            </m:ctrlPr>
          </m:sSubPr>
          <m:e>
            <m:r>
              <m:rPr/>
              <w:rPr>
                <w:rFonts w:ascii="Cambria Math" w:hAnsi="Cambria Math"/>
              </w:rPr>
              <m:t>R</m:t>
            </m:r>
            <m:ctrlPr>
              <w:rPr>
                <w:rFonts w:ascii="Cambria Math" w:hAnsi="Cambria Math"/>
              </w:rPr>
            </m:ctrlPr>
          </m:e>
          <m:sub>
            <m:r>
              <m:rPr>
                <m:sty m:val="p"/>
              </m:rPr>
              <w:rPr>
                <w:rFonts w:ascii="Cambria Math" w:hAnsi="Cambria Math"/>
              </w:rPr>
              <m:t>sh</m:t>
            </m:r>
            <m:ctrlPr>
              <w:rPr>
                <w:rFonts w:ascii="Cambria Math" w:hAnsi="Cambria Math"/>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g</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q</m:t>
                </m:r>
                <m:ctrlPr>
                  <w:rPr>
                    <w:rFonts w:ascii="Cambria Math" w:hAnsi="Cambria Math"/>
                    <w:i/>
                  </w:rPr>
                </m:ctrlPr>
              </m:sub>
            </m:sSub>
            <m:ctrlPr>
              <w:rPr>
                <w:rFonts w:ascii="Cambria Math" w:hAnsi="Cambria Math"/>
                <w:i/>
              </w:rPr>
            </m:ctrlPr>
          </m:den>
        </m:f>
        <m:r>
          <m:rPr/>
          <w:rPr>
            <w:rFonts w:ascii="Cambria Math" w:hAnsi="Cambria Math"/>
          </w:rPr>
          <m:t>×100%</m:t>
        </m:r>
      </m:oMath>
      <w:r>
        <w:rPr>
          <w:rFonts w:ascii="微软雅黑" w:hAnsi="微软雅黑" w:eastAsia="微软雅黑"/>
        </w:rPr>
        <w:tab/>
      </w:r>
      <w:r>
        <w:t>(C.</w:t>
      </w:r>
      <w:r>
        <w:fldChar w:fldCharType="begin"/>
      </w:r>
      <w:r>
        <w:instrText xml:space="preserve">  seq fulu_equation_133767320626730000  </w:instrText>
      </w:r>
      <w:r>
        <w:fldChar w:fldCharType="separate"/>
      </w:r>
      <w:r>
        <w:t>2</w:t>
      </w:r>
      <w:r>
        <w:fldChar w:fldCharType="end"/>
      </w:r>
      <w:r>
        <w:t>)</w:t>
      </w:r>
    </w:p>
    <w:p>
      <w:pPr>
        <w:pStyle w:val="55"/>
        <w:ind w:firstLine="420"/>
      </w:pPr>
      <w:r>
        <w:rPr>
          <w:rFonts w:hint="eastAsia"/>
        </w:rPr>
        <w:t>式中：</w:t>
      </w:r>
    </w:p>
    <w:p>
      <w:pPr>
        <w:pStyle w:val="56"/>
        <w:ind w:firstLine="420"/>
      </w:pPr>
      <m:oMath>
        <m:sSub>
          <m:sSubPr>
            <m:ctrlPr>
              <w:rPr>
                <w:rFonts w:ascii="Cambria Math" w:hAnsi="Cambria Math"/>
              </w:rPr>
            </m:ctrlPr>
          </m:sSubPr>
          <m:e>
            <m:r>
              <m:rPr/>
              <w:rPr>
                <w:rFonts w:ascii="Cambria Math" w:hAnsi="Cambria Math"/>
              </w:rPr>
              <m:t>R</m:t>
            </m:r>
            <m:ctrlPr>
              <w:rPr>
                <w:rFonts w:ascii="Cambria Math" w:hAnsi="Cambria Math"/>
              </w:rPr>
            </m:ctrlPr>
          </m:e>
          <m:sub>
            <m:r>
              <m:rPr>
                <m:sty m:val="p"/>
              </m:rPr>
              <w:rPr>
                <w:rFonts w:ascii="Cambria Math" w:hAnsi="Cambria Math"/>
              </w:rPr>
              <m:t>sh</m:t>
            </m:r>
            <m:ctrlPr>
              <w:rPr>
                <w:rFonts w:ascii="Cambria Math" w:hAnsi="Cambria Math"/>
              </w:rPr>
            </m:ctrlPr>
          </m:sub>
        </m:sSub>
      </m:oMath>
      <w:r>
        <w:rPr>
          <w:rFonts w:hint="eastAsia"/>
        </w:rPr>
        <w:t>——节水率（%）；</w:t>
      </w:r>
    </w:p>
    <w:p>
      <w:pPr>
        <w:pStyle w:val="56"/>
        <w:ind w:firstLine="420"/>
      </w:pPr>
      <m:oMath>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q</m:t>
            </m:r>
            <m:ctrlPr>
              <w:rPr>
                <w:rFonts w:ascii="Cambria Math" w:hAnsi="Cambria Math"/>
                <w:i/>
              </w:rPr>
            </m:ctrlPr>
          </m:sub>
        </m:sSub>
      </m:oMath>
      <w:r>
        <w:rPr>
          <w:rFonts w:hint="eastAsia"/>
        </w:rPr>
        <w:t>——工程建成前年毛总用水量(m</w:t>
      </w:r>
      <w:r>
        <w:rPr>
          <w:rFonts w:hint="eastAsia"/>
          <w:vertAlign w:val="superscript"/>
        </w:rPr>
        <w:t>3</w:t>
      </w:r>
      <w:r>
        <w:rPr>
          <w:rFonts w:hint="eastAsia"/>
        </w:rPr>
        <w:t>/年)；</w:t>
      </w:r>
    </w:p>
    <w:p>
      <w:pPr>
        <w:pStyle w:val="56"/>
        <w:ind w:firstLine="420"/>
      </w:pPr>
      <m:oMath>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g</m:t>
            </m:r>
            <m:ctrlPr>
              <w:rPr>
                <w:rFonts w:ascii="Cambria Math" w:hAnsi="Cambria Math"/>
                <w:i/>
              </w:rPr>
            </m:ctrlPr>
          </m:sub>
        </m:sSub>
      </m:oMath>
      <w:r>
        <w:rPr>
          <w:rFonts w:hint="eastAsia"/>
        </w:rPr>
        <w:t>——工程实施后年毛总用水量(m</w:t>
      </w:r>
      <w:r>
        <w:rPr>
          <w:rFonts w:hint="eastAsia"/>
          <w:vertAlign w:val="superscript"/>
        </w:rPr>
        <w:t>3</w:t>
      </w:r>
      <w:r>
        <w:rPr>
          <w:rFonts w:hint="eastAsia"/>
        </w:rPr>
        <w:t>/年)。</w:t>
      </w:r>
    </w:p>
    <w:p>
      <w:pPr>
        <w:pStyle w:val="56"/>
        <w:ind w:firstLine="0" w:firstLineChars="0"/>
      </w:pPr>
    </w:p>
    <w:bookmarkEnd w:id="102"/>
    <w:p>
      <w:pPr>
        <w:pStyle w:val="56"/>
        <w:ind w:firstLine="0" w:firstLineChars="0"/>
        <w:sectPr>
          <w:headerReference r:id="rId31" w:type="default"/>
          <w:footerReference r:id="rId33" w:type="default"/>
          <w:headerReference r:id="rId32" w:type="even"/>
          <w:footerReference r:id="rId34" w:type="even"/>
          <w:pgSz w:w="11906" w:h="16838"/>
          <w:pgMar w:top="1928" w:right="1134" w:bottom="1134" w:left="1134" w:header="1418" w:footer="1134" w:gutter="284"/>
          <w:cols w:space="425" w:num="1"/>
          <w:formProt w:val="0"/>
          <w:docGrid w:type="lines" w:linePitch="312" w:charSpace="0"/>
        </w:sectPr>
      </w:pPr>
      <w:bookmarkStart w:id="119" w:name="BookMark6"/>
    </w:p>
    <w:p>
      <w:pPr>
        <w:pStyle w:val="63"/>
        <w:spacing w:after="156"/>
      </w:pPr>
      <w:bookmarkStart w:id="120" w:name="_Toc183181888"/>
      <w:bookmarkStart w:id="121" w:name="_Toc183183507"/>
      <w:r>
        <w:rPr>
          <w:rFonts w:hint="eastAsia"/>
          <w:spacing w:val="105"/>
        </w:rPr>
        <w:t>参考文</w:t>
      </w:r>
      <w:r>
        <w:rPr>
          <w:rFonts w:hint="eastAsia"/>
        </w:rPr>
        <w:t>献</w:t>
      </w:r>
      <w:bookmarkEnd w:id="120"/>
      <w:bookmarkEnd w:id="121"/>
    </w:p>
    <w:p>
      <w:pPr>
        <w:pStyle w:val="56"/>
        <w:ind w:firstLine="420"/>
      </w:pPr>
      <w:r>
        <w:rPr>
          <w:rFonts w:hint="eastAsia"/>
        </w:rPr>
        <w:t>[1] 水利部 《计划用水管理办法》 水资源[2014] 360号</w:t>
      </w:r>
    </w:p>
    <w:p>
      <w:pPr>
        <w:pStyle w:val="56"/>
        <w:ind w:firstLine="420"/>
      </w:pPr>
      <w:r>
        <w:rPr>
          <w:rFonts w:hint="eastAsia"/>
        </w:rPr>
        <w:t>[2] 江苏省水利厅 《江苏省计划用水管理办法》 苏水规[2016] 4号</w:t>
      </w:r>
    </w:p>
    <w:bookmarkEnd w:id="119"/>
    <w:p>
      <w:pPr>
        <w:pStyle w:val="56"/>
        <w:ind w:firstLine="0" w:firstLineChars="0"/>
        <w:jc w:val="center"/>
      </w:pPr>
      <w:bookmarkStart w:id="122" w:name="BookMark8"/>
      <w:r>
        <w:drawing>
          <wp:inline distT="0" distB="0" distL="0" distR="0">
            <wp:extent cx="1485900" cy="317500"/>
            <wp:effectExtent l="0" t="0" r="0" b="6350"/>
            <wp:docPr id="27" name="图片 27"/>
            <wp:cNvGraphicFramePr/>
            <a:graphic xmlns:a="http://schemas.openxmlformats.org/drawingml/2006/main">
              <a:graphicData uri="http://schemas.openxmlformats.org/drawingml/2006/picture">
                <pic:pic xmlns:pic="http://schemas.openxmlformats.org/drawingml/2006/picture">
                  <pic:nvPicPr>
                    <pic:cNvPr id="27" name="图片 27"/>
                    <pic:cNvPicPr/>
                  </pic:nvPicPr>
                  <pic:blipFill>
                    <a:blip r:embed="rId41"/>
                    <a:stretch>
                      <a:fillRect/>
                    </a:stretch>
                  </pic:blipFill>
                  <pic:spPr>
                    <a:xfrm>
                      <a:off x="0" y="0"/>
                      <a:ext cx="1485900" cy="317500"/>
                    </a:xfrm>
                    <a:prstGeom prst="rect">
                      <a:avLst/>
                    </a:prstGeom>
                  </pic:spPr>
                </pic:pic>
              </a:graphicData>
            </a:graphic>
          </wp:inline>
        </w:drawing>
      </w:r>
      <w:bookmarkEnd w:id="122"/>
    </w:p>
    <w:sectPr>
      <w:headerReference r:id="rId35" w:type="default"/>
      <w:footerReference r:id="rId37" w:type="default"/>
      <w:headerReference r:id="rId36" w:type="even"/>
      <w:footerReference r:id="rId38"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7</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2</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9</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8</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II</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10</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11</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1075—2025</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1075—2025</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1075—2025</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1075—2025</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1075—2025</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1075—2025</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1075—2025</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1075—2025</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1075—2025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1075—2025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1075—2025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1075—2025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1075—2025</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1075—2025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Full" w:cryptAlgorithmClass="hash" w:cryptAlgorithmType="typeAny" w:cryptAlgorithmSid="4" w:cryptSpinCount="100000" w:hash="msLvvW42sFlUOJc1JB4Zok74buQ=" w:salt="mib5OzjPqKhyS3TNgVI/5Q=="/>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lYzg2M2Y4MzlhYTBjN2IwMWMwZThkYTkwNzMxNjEifQ=="/>
  </w:docVars>
  <w:rsids>
    <w:rsidRoot w:val="005B24EC"/>
    <w:rsid w:val="0000040A"/>
    <w:rsid w:val="00000A94"/>
    <w:rsid w:val="00001972"/>
    <w:rsid w:val="00001D9A"/>
    <w:rsid w:val="0000562B"/>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28EF"/>
    <w:rsid w:val="00043282"/>
    <w:rsid w:val="00044286"/>
    <w:rsid w:val="00047F28"/>
    <w:rsid w:val="000503AA"/>
    <w:rsid w:val="000506A1"/>
    <w:rsid w:val="000515DD"/>
    <w:rsid w:val="0005265A"/>
    <w:rsid w:val="00052C0E"/>
    <w:rsid w:val="000539DD"/>
    <w:rsid w:val="00053BD3"/>
    <w:rsid w:val="000556ED"/>
    <w:rsid w:val="00055FE2"/>
    <w:rsid w:val="0005616F"/>
    <w:rsid w:val="00060C2E"/>
    <w:rsid w:val="00061033"/>
    <w:rsid w:val="000619E9"/>
    <w:rsid w:val="000622D4"/>
    <w:rsid w:val="0006357D"/>
    <w:rsid w:val="00066832"/>
    <w:rsid w:val="00067F1E"/>
    <w:rsid w:val="00071CC0"/>
    <w:rsid w:val="00073C8C"/>
    <w:rsid w:val="00076D02"/>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47E1"/>
    <w:rsid w:val="001457E7"/>
    <w:rsid w:val="00145D9D"/>
    <w:rsid w:val="00146388"/>
    <w:rsid w:val="001529E5"/>
    <w:rsid w:val="00153C7E"/>
    <w:rsid w:val="00156B25"/>
    <w:rsid w:val="00156E1A"/>
    <w:rsid w:val="00157894"/>
    <w:rsid w:val="00157B55"/>
    <w:rsid w:val="0016354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138"/>
    <w:rsid w:val="001852C9"/>
    <w:rsid w:val="00190087"/>
    <w:rsid w:val="001913C4"/>
    <w:rsid w:val="0019348F"/>
    <w:rsid w:val="00193A07"/>
    <w:rsid w:val="00194C95"/>
    <w:rsid w:val="00195C34"/>
    <w:rsid w:val="00196EF5"/>
    <w:rsid w:val="001A1A53"/>
    <w:rsid w:val="001A234A"/>
    <w:rsid w:val="001A4CF3"/>
    <w:rsid w:val="001B06E8"/>
    <w:rsid w:val="001B666F"/>
    <w:rsid w:val="001B71D0"/>
    <w:rsid w:val="001B71EE"/>
    <w:rsid w:val="001C04A8"/>
    <w:rsid w:val="001C2C03"/>
    <w:rsid w:val="001C42F7"/>
    <w:rsid w:val="001C49E5"/>
    <w:rsid w:val="001C680C"/>
    <w:rsid w:val="001C7FEA"/>
    <w:rsid w:val="001D0499"/>
    <w:rsid w:val="001D0636"/>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3651"/>
    <w:rsid w:val="001F4816"/>
    <w:rsid w:val="001F4EE9"/>
    <w:rsid w:val="001F69B4"/>
    <w:rsid w:val="001F7630"/>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2E0"/>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2DD8"/>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76D58"/>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3A86"/>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99B"/>
    <w:rsid w:val="00441AE7"/>
    <w:rsid w:val="00445574"/>
    <w:rsid w:val="004467FB"/>
    <w:rsid w:val="00452D6B"/>
    <w:rsid w:val="00454484"/>
    <w:rsid w:val="0045517B"/>
    <w:rsid w:val="00457AC8"/>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EF8"/>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45E4"/>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24E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432"/>
    <w:rsid w:val="00636E3E"/>
    <w:rsid w:val="006379F7"/>
    <w:rsid w:val="00637E4D"/>
    <w:rsid w:val="00640620"/>
    <w:rsid w:val="00640D84"/>
    <w:rsid w:val="00641A1F"/>
    <w:rsid w:val="006432C0"/>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1719"/>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4EBD"/>
    <w:rsid w:val="0074548E"/>
    <w:rsid w:val="00745773"/>
    <w:rsid w:val="00746800"/>
    <w:rsid w:val="007501A8"/>
    <w:rsid w:val="00750D61"/>
    <w:rsid w:val="00750EE1"/>
    <w:rsid w:val="00752B4D"/>
    <w:rsid w:val="00755402"/>
    <w:rsid w:val="00756B26"/>
    <w:rsid w:val="00756EDF"/>
    <w:rsid w:val="007600E3"/>
    <w:rsid w:val="00764258"/>
    <w:rsid w:val="00765C43"/>
    <w:rsid w:val="00765EFB"/>
    <w:rsid w:val="007671CA"/>
    <w:rsid w:val="00767C61"/>
    <w:rsid w:val="0077008A"/>
    <w:rsid w:val="00773C1F"/>
    <w:rsid w:val="00774DA4"/>
    <w:rsid w:val="00776599"/>
    <w:rsid w:val="0078114B"/>
    <w:rsid w:val="00781DD2"/>
    <w:rsid w:val="00783ECF"/>
    <w:rsid w:val="0078413A"/>
    <w:rsid w:val="00784607"/>
    <w:rsid w:val="00787989"/>
    <w:rsid w:val="007959E8"/>
    <w:rsid w:val="00795E9C"/>
    <w:rsid w:val="007A0521"/>
    <w:rsid w:val="007A1714"/>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1122"/>
    <w:rsid w:val="007F2F7C"/>
    <w:rsid w:val="007F6DEC"/>
    <w:rsid w:val="007F75CE"/>
    <w:rsid w:val="008013A4"/>
    <w:rsid w:val="008027CE"/>
    <w:rsid w:val="00802B49"/>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12E2"/>
    <w:rsid w:val="0083348C"/>
    <w:rsid w:val="00836886"/>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4669F"/>
    <w:rsid w:val="00953604"/>
    <w:rsid w:val="0095496B"/>
    <w:rsid w:val="009610DC"/>
    <w:rsid w:val="00961490"/>
    <w:rsid w:val="009622FF"/>
    <w:rsid w:val="0096381A"/>
    <w:rsid w:val="00965E04"/>
    <w:rsid w:val="009674AD"/>
    <w:rsid w:val="00970CDC"/>
    <w:rsid w:val="00977010"/>
    <w:rsid w:val="00977D02"/>
    <w:rsid w:val="009809BB"/>
    <w:rsid w:val="0098364B"/>
    <w:rsid w:val="009911AF"/>
    <w:rsid w:val="00991875"/>
    <w:rsid w:val="00991F92"/>
    <w:rsid w:val="00992985"/>
    <w:rsid w:val="00993889"/>
    <w:rsid w:val="00995017"/>
    <w:rsid w:val="0099551B"/>
    <w:rsid w:val="00995B51"/>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2F49"/>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321E"/>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0874"/>
    <w:rsid w:val="00B72880"/>
    <w:rsid w:val="00B733E5"/>
    <w:rsid w:val="00B758BF"/>
    <w:rsid w:val="00B77EC8"/>
    <w:rsid w:val="00B827A6"/>
    <w:rsid w:val="00B831CE"/>
    <w:rsid w:val="00B86677"/>
    <w:rsid w:val="00B87131"/>
    <w:rsid w:val="00B939B1"/>
    <w:rsid w:val="00B96D40"/>
    <w:rsid w:val="00B97386"/>
    <w:rsid w:val="00BA263B"/>
    <w:rsid w:val="00BA42B2"/>
    <w:rsid w:val="00BA5782"/>
    <w:rsid w:val="00BA58D4"/>
    <w:rsid w:val="00BA5B9E"/>
    <w:rsid w:val="00BA7C9A"/>
    <w:rsid w:val="00BB128B"/>
    <w:rsid w:val="00BB203B"/>
    <w:rsid w:val="00BB2C60"/>
    <w:rsid w:val="00BB5F8F"/>
    <w:rsid w:val="00BB657A"/>
    <w:rsid w:val="00BC1A4E"/>
    <w:rsid w:val="00BC4790"/>
    <w:rsid w:val="00BC5DC7"/>
    <w:rsid w:val="00BC6B8B"/>
    <w:rsid w:val="00BC73D8"/>
    <w:rsid w:val="00BD476B"/>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61B"/>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289"/>
    <w:rsid w:val="00D4734F"/>
    <w:rsid w:val="00D51BF3"/>
    <w:rsid w:val="00D66846"/>
    <w:rsid w:val="00D675FB"/>
    <w:rsid w:val="00D71F25"/>
    <w:rsid w:val="00D72A14"/>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A7D25"/>
    <w:rsid w:val="00DB0258"/>
    <w:rsid w:val="00DB38EE"/>
    <w:rsid w:val="00DB498B"/>
    <w:rsid w:val="00DB547A"/>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71F8"/>
    <w:rsid w:val="00E70388"/>
    <w:rsid w:val="00E70F92"/>
    <w:rsid w:val="00E74C54"/>
    <w:rsid w:val="00E77A03"/>
    <w:rsid w:val="00E822E8"/>
    <w:rsid w:val="00E82554"/>
    <w:rsid w:val="00E82606"/>
    <w:rsid w:val="00E846C8"/>
    <w:rsid w:val="00E84957"/>
    <w:rsid w:val="00E84A55"/>
    <w:rsid w:val="00E85BFF"/>
    <w:rsid w:val="00E90391"/>
    <w:rsid w:val="00E903DF"/>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697B"/>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79A"/>
    <w:rsid w:val="00F86D87"/>
    <w:rsid w:val="00F9108B"/>
    <w:rsid w:val="00F91349"/>
    <w:rsid w:val="00F93A8A"/>
    <w:rsid w:val="00F9493F"/>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6847"/>
    <w:rsid w:val="00FE7E79"/>
    <w:rsid w:val="00FF3E7D"/>
    <w:rsid w:val="00FF5B99"/>
    <w:rsid w:val="00FF730C"/>
    <w:rsid w:val="00FF73F4"/>
    <w:rsid w:val="00FF7CE4"/>
    <w:rsid w:val="00FF7E39"/>
    <w:rsid w:val="3C193A34"/>
    <w:rsid w:val="58BD6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Char"/>
    <w:link w:val="2"/>
    <w:uiPriority w:val="0"/>
    <w:rPr>
      <w:b/>
      <w:bCs/>
      <w:kern w:val="44"/>
      <w:sz w:val="44"/>
      <w:szCs w:val="44"/>
    </w:rPr>
  </w:style>
  <w:style w:type="character" w:customStyle="1" w:styleId="35">
    <w:name w:val="标题 2 Char"/>
    <w:link w:val="3"/>
    <w:uiPriority w:val="0"/>
    <w:rPr>
      <w:rFonts w:ascii="Arial" w:hAnsi="Arial" w:eastAsia="黑体"/>
      <w:b/>
      <w:bCs/>
      <w:kern w:val="2"/>
      <w:sz w:val="32"/>
      <w:szCs w:val="32"/>
    </w:rPr>
  </w:style>
  <w:style w:type="character" w:customStyle="1" w:styleId="36">
    <w:name w:val="标题 3 Char"/>
    <w:link w:val="4"/>
    <w:uiPriority w:val="0"/>
    <w:rPr>
      <w:b/>
      <w:bCs/>
      <w:kern w:val="2"/>
      <w:sz w:val="32"/>
      <w:szCs w:val="32"/>
    </w:rPr>
  </w:style>
  <w:style w:type="character" w:customStyle="1" w:styleId="37">
    <w:name w:val="标题 4 Char"/>
    <w:link w:val="5"/>
    <w:uiPriority w:val="0"/>
    <w:rPr>
      <w:rFonts w:ascii="Arial" w:hAnsi="Arial" w:eastAsia="黑体"/>
      <w:b/>
      <w:bCs/>
      <w:kern w:val="2"/>
      <w:sz w:val="28"/>
      <w:szCs w:val="28"/>
    </w:rPr>
  </w:style>
  <w:style w:type="character" w:customStyle="1" w:styleId="38">
    <w:name w:val="标题 5 Char"/>
    <w:link w:val="6"/>
    <w:uiPriority w:val="0"/>
    <w:rPr>
      <w:b/>
      <w:bCs/>
      <w:kern w:val="2"/>
      <w:sz w:val="28"/>
      <w:szCs w:val="28"/>
    </w:rPr>
  </w:style>
  <w:style w:type="character" w:customStyle="1" w:styleId="39">
    <w:name w:val="标题 6 Char"/>
    <w:link w:val="7"/>
    <w:uiPriority w:val="0"/>
    <w:rPr>
      <w:rFonts w:ascii="Arial" w:hAnsi="Arial" w:eastAsia="黑体"/>
      <w:b/>
      <w:bCs/>
      <w:kern w:val="2"/>
      <w:sz w:val="24"/>
      <w:szCs w:val="24"/>
    </w:rPr>
  </w:style>
  <w:style w:type="character" w:customStyle="1" w:styleId="40">
    <w:name w:val="标题 7 Char"/>
    <w:link w:val="8"/>
    <w:uiPriority w:val="0"/>
    <w:rPr>
      <w:b/>
      <w:bCs/>
      <w:kern w:val="2"/>
      <w:sz w:val="24"/>
      <w:szCs w:val="24"/>
    </w:rPr>
  </w:style>
  <w:style w:type="character" w:customStyle="1" w:styleId="41">
    <w:name w:val="标题 8 Char"/>
    <w:link w:val="9"/>
    <w:uiPriority w:val="0"/>
    <w:rPr>
      <w:rFonts w:ascii="Arial" w:hAnsi="Arial" w:eastAsia="黑体"/>
      <w:kern w:val="2"/>
      <w:sz w:val="24"/>
      <w:szCs w:val="24"/>
    </w:rPr>
  </w:style>
  <w:style w:type="character" w:customStyle="1" w:styleId="42">
    <w:name w:val="标题 9 Char"/>
    <w:link w:val="10"/>
    <w:uiPriority w:val="0"/>
    <w:rPr>
      <w:rFonts w:ascii="Arial" w:hAnsi="Arial" w:eastAsia="黑体"/>
      <w:kern w:val="2"/>
      <w:sz w:val="21"/>
      <w:szCs w:val="21"/>
    </w:rPr>
  </w:style>
  <w:style w:type="character" w:customStyle="1" w:styleId="43">
    <w:name w:val="页眉 Char"/>
    <w:link w:val="18"/>
    <w:autoRedefine/>
    <w:qFormat/>
    <w:uiPriority w:val="99"/>
    <w:rPr>
      <w:kern w:val="2"/>
      <w:sz w:val="18"/>
      <w:szCs w:val="18"/>
    </w:rPr>
  </w:style>
  <w:style w:type="character" w:customStyle="1" w:styleId="44">
    <w:name w:val="页脚 Char"/>
    <w:link w:val="17"/>
    <w:uiPriority w:val="99"/>
    <w:rPr>
      <w:rFonts w:ascii="宋体"/>
      <w:kern w:val="2"/>
      <w:sz w:val="18"/>
      <w:szCs w:val="18"/>
    </w:rPr>
  </w:style>
  <w:style w:type="character" w:customStyle="1" w:styleId="45">
    <w:name w:val="批注框文本 Char"/>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uiPriority w:val="29"/>
    <w:rPr>
      <w:i/>
      <w:iCs/>
      <w:color w:val="000000"/>
      <w:kern w:val="2"/>
      <w:sz w:val="21"/>
      <w:szCs w:val="21"/>
    </w:rPr>
  </w:style>
  <w:style w:type="character" w:customStyle="1" w:styleId="48">
    <w:name w:val="标题 Char"/>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Subtle Reference"/>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段"/>
    <w:basedOn w:val="1"/>
    <w:uiPriority w:val="0"/>
    <w:pPr>
      <w:widowControl/>
      <w:autoSpaceDE w:val="0"/>
      <w:autoSpaceDN w:val="0"/>
      <w:adjustRightInd/>
      <w:spacing w:line="240" w:lineRule="auto"/>
      <w:ind w:firstLine="420" w:firstLineChars="200"/>
    </w:pPr>
    <w:rPr>
      <w:rFonts w:ascii="宋体" w:hAnsi="Times New Roman"/>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6" Type="http://schemas.openxmlformats.org/officeDocument/2006/relationships/glossaryDocument" Target="glossary/document.xml"/><Relationship Id="rId45" Type="http://schemas.openxmlformats.org/officeDocument/2006/relationships/fontTable" Target="fontTable.xml"/><Relationship Id="rId44" Type="http://schemas.openxmlformats.org/officeDocument/2006/relationships/customXml" Target="../customXml/item2.xml"/><Relationship Id="rId43" Type="http://schemas.openxmlformats.org/officeDocument/2006/relationships/numbering" Target="numbering.xml"/><Relationship Id="rId42" Type="http://schemas.openxmlformats.org/officeDocument/2006/relationships/customXml" Target="../customXml/item1.xml"/><Relationship Id="rId41" Type="http://schemas.openxmlformats.org/officeDocument/2006/relationships/image" Target="media/image2.jpeg"/><Relationship Id="rId40" Type="http://schemas.openxmlformats.org/officeDocument/2006/relationships/image" Target="media/image1.tiff"/><Relationship Id="rId4" Type="http://schemas.openxmlformats.org/officeDocument/2006/relationships/endnotes" Target="endnotes.xml"/><Relationship Id="rId39" Type="http://schemas.openxmlformats.org/officeDocument/2006/relationships/theme" Target="theme/theme1.xml"/><Relationship Id="rId38" Type="http://schemas.openxmlformats.org/officeDocument/2006/relationships/footer" Target="footer17.xml"/><Relationship Id="rId37" Type="http://schemas.openxmlformats.org/officeDocument/2006/relationships/footer" Target="footer16.xml"/><Relationship Id="rId36" Type="http://schemas.openxmlformats.org/officeDocument/2006/relationships/header" Target="header17.xml"/><Relationship Id="rId35" Type="http://schemas.openxmlformats.org/officeDocument/2006/relationships/header" Target="header16.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D6D2BB18E5146CD997134F749631ABE"/>
        <w:style w:val=""/>
        <w:category>
          <w:name w:val="常规"/>
          <w:gallery w:val="placeholder"/>
        </w:category>
        <w:types>
          <w:type w:val="bbPlcHdr"/>
        </w:types>
        <w:behaviors>
          <w:behavior w:val="content"/>
        </w:behaviors>
        <w:description w:val=""/>
        <w:guid w:val="{EC7BBF7A-2CB5-434C-8C7F-5612A4DC1290}"/>
      </w:docPartPr>
      <w:docPartBody>
        <w:p>
          <w:pPr>
            <w:pStyle w:val="5"/>
          </w:pPr>
          <w:r>
            <w:rPr>
              <w:rStyle w:val="4"/>
              <w:rFonts w:hint="eastAsia"/>
            </w:rPr>
            <w:t>单击或点击此处输入文字。</w:t>
          </w:r>
        </w:p>
      </w:docPartBody>
    </w:docPart>
    <w:docPart>
      <w:docPartPr>
        <w:name w:val="2BCDB19F42D54BCAB20D527E15F85439"/>
        <w:style w:val=""/>
        <w:category>
          <w:name w:val="常规"/>
          <w:gallery w:val="placeholder"/>
        </w:category>
        <w:types>
          <w:type w:val="bbPlcHdr"/>
        </w:types>
        <w:behaviors>
          <w:behavior w:val="content"/>
        </w:behaviors>
        <w:description w:val=""/>
        <w:guid w:val="{2053A41B-706F-40EC-8D88-13B3FF2352EA}"/>
      </w:docPartPr>
      <w:docPartBody>
        <w:p>
          <w:pPr>
            <w:pStyle w:val="6"/>
          </w:pPr>
          <w:r>
            <w:rPr>
              <w:rStyle w:val="4"/>
              <w:rFonts w:hint="eastAsia"/>
            </w:rPr>
            <w:t>选择一项。</w:t>
          </w:r>
        </w:p>
      </w:docPartBody>
    </w:docPart>
    <w:docPart>
      <w:docPartPr>
        <w:name w:val="DD597A02E23E42FBAD2E5CC7DB098DB3"/>
        <w:style w:val=""/>
        <w:category>
          <w:name w:val="常规"/>
          <w:gallery w:val="placeholder"/>
        </w:category>
        <w:types>
          <w:type w:val="bbPlcHdr"/>
        </w:types>
        <w:behaviors>
          <w:behavior w:val="content"/>
        </w:behaviors>
        <w:description w:val=""/>
        <w:guid w:val="{77B0AA12-43E6-4BA4-A365-F7CB39CCBA3B}"/>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64F"/>
    <w:rsid w:val="001F7C98"/>
    <w:rsid w:val="00407A17"/>
    <w:rsid w:val="0044690B"/>
    <w:rsid w:val="004C43E1"/>
    <w:rsid w:val="00562AB0"/>
    <w:rsid w:val="00743735"/>
    <w:rsid w:val="008563FE"/>
    <w:rsid w:val="00A25900"/>
    <w:rsid w:val="00BC164F"/>
    <w:rsid w:val="00FC28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9D6D2BB18E5146CD997134F749631AB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BCDB19F42D54BCAB20D527E15F8543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DD597A02E23E42FBAD2E5CC7DB098DB3"/>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7DA165-1429-408A-B04B-4485E9F08E4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17</Pages>
  <Words>1697</Words>
  <Characters>9674</Characters>
  <Lines>80</Lines>
  <Paragraphs>22</Paragraphs>
  <TotalTime>378</TotalTime>
  <ScaleCrop>false</ScaleCrop>
  <LinksUpToDate>false</LinksUpToDate>
  <CharactersWithSpaces>11349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2024-11-22T02:46:00Z</dcterms:created>
  <dc:creator>123</dc:creator>
  <dc:description>&lt;config cover="true" show_menu="true" version="1.0.0" doctype="SDKXY"&gt;_x000d_
&lt;/config&gt;</dc:description>
  <cp:lastModifiedBy>Administrator</cp:lastModifiedBy>
  <cp:lastPrinted>2024-12-24T05:54:00Z</cp:lastPrinted>
  <dcterms:modified xsi:type="dcterms:W3CDTF">2025-01-02T02:16:38Z</dcterms:modified>
  <dc:title>地方标准</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2</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2052-12.1.0.16388</vt:lpwstr>
  </property>
  <property fmtid="{D5CDD505-2E9C-101B-9397-08002B2CF9AE}" pid="16" name="ICV">
    <vt:lpwstr>3C91A8F70AB24035922971692BD5702B_12</vt:lpwstr>
  </property>
</Properties>
</file>